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4516F8C3"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21231F">
        <w:rPr>
          <w:rFonts w:cs="Arial"/>
          <w:sz w:val="24"/>
          <w:szCs w:val="24"/>
        </w:rPr>
        <w:t>1</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6439E2">
        <w:rPr>
          <w:rFonts w:cs="Arial"/>
          <w:color w:val="000000"/>
          <w:sz w:val="24"/>
          <w:szCs w:val="24"/>
        </w:rPr>
        <w:t>0</w:t>
      </w:r>
      <w:r w:rsidR="00E76255">
        <w:rPr>
          <w:rFonts w:cs="Arial"/>
          <w:color w:val="000000"/>
          <w:sz w:val="24"/>
          <w:szCs w:val="24"/>
        </w:rPr>
        <w:t>6958</w:t>
      </w:r>
      <w:bookmarkStart w:id="0" w:name="_GoBack"/>
      <w:bookmarkEnd w:id="0"/>
    </w:p>
    <w:p w14:paraId="2700B07E" w14:textId="70936D51" w:rsidR="003175E3" w:rsidRPr="00C51EC1" w:rsidRDefault="0021231F" w:rsidP="003175E3">
      <w:pPr>
        <w:pStyle w:val="Header"/>
        <w:rPr>
          <w:rFonts w:eastAsia="SimSun"/>
          <w:sz w:val="24"/>
          <w:szCs w:val="24"/>
          <w:lang w:eastAsia="zh-CN"/>
        </w:rPr>
      </w:pPr>
      <w:r>
        <w:rPr>
          <w:rFonts w:eastAsia="SimSun"/>
          <w:sz w:val="24"/>
          <w:szCs w:val="24"/>
          <w:lang w:eastAsia="zh-CN"/>
        </w:rPr>
        <w:t>Reno, USA, 13 – 17 May</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1D787622"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337467">
        <w:rPr>
          <w:rFonts w:ascii="Arial" w:hAnsi="Arial"/>
          <w:sz w:val="24"/>
          <w:lang w:val="en-US"/>
        </w:rPr>
        <w:t>7.14.</w:t>
      </w:r>
      <w:r w:rsidR="00496B44">
        <w:rPr>
          <w:rFonts w:ascii="Arial" w:hAnsi="Arial"/>
          <w:sz w:val="24"/>
          <w:lang w:val="en-US"/>
        </w:rPr>
        <w:t>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008F1498"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496B44">
        <w:rPr>
          <w:rFonts w:ascii="Arial" w:hAnsi="Arial"/>
          <w:sz w:val="24"/>
          <w:lang w:val="en-US"/>
        </w:rPr>
        <w:t>On Conditional HO in LTE FeMob</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D69F289" w:rsidR="003A3520" w:rsidRDefault="009046D1" w:rsidP="00017422">
      <w:pPr>
        <w:pStyle w:val="Heading1"/>
        <w:rPr>
          <w:lang w:val="en-US"/>
        </w:rPr>
      </w:pPr>
      <w:r>
        <w:rPr>
          <w:lang w:val="en-US"/>
        </w:rPr>
        <w:t>Introduction</w:t>
      </w:r>
    </w:p>
    <w:p w14:paraId="348A3821" w14:textId="53AE5747" w:rsidR="00496B44" w:rsidRDefault="00F124D0" w:rsidP="00496B44">
      <w:pPr>
        <w:rPr>
          <w:lang w:val="en-US"/>
        </w:rPr>
      </w:pPr>
      <w:r>
        <w:rPr>
          <w:lang w:val="en-US"/>
        </w:rPr>
        <w:t xml:space="preserve">Conditional HO (CHO) is being introduced in Rel-16 LTE FeMob as a method to increase HO reliability and robustness </w:t>
      </w:r>
      <w:r w:rsidR="00A87C11">
        <w:rPr>
          <w:lang w:val="en-US"/>
        </w:rPr>
        <w:t xml:space="preserve">in which source cell delivers RRC command for HO when UE channel conditions </w:t>
      </w:r>
      <w:r w:rsidR="00880334">
        <w:rPr>
          <w:lang w:val="en-US"/>
        </w:rPr>
        <w:t>are</w:t>
      </w:r>
      <w:r w:rsidR="00A87C11">
        <w:rPr>
          <w:lang w:val="en-US"/>
        </w:rPr>
        <w:t xml:space="preserve"> stable in advance of possible deterioration. The RRC command configures UE with a list of target cell candidates and conditions to handover to them for which UE can continuously monitor and evaluate. Upon satisfying the first of the conditions, UE starts executing HO. </w:t>
      </w:r>
    </w:p>
    <w:p w14:paraId="63F88687" w14:textId="68CF46B1" w:rsidR="00A87C11" w:rsidRPr="00496B44" w:rsidRDefault="00A87C11" w:rsidP="00496B44">
      <w:pPr>
        <w:rPr>
          <w:lang w:val="en-US"/>
        </w:rPr>
      </w:pPr>
      <w:r>
        <w:rPr>
          <w:lang w:val="en-US"/>
        </w:rPr>
        <w:t>In previous RAN4#90-Bis meeting, RRM requirements for CHO was discussed [1]. This paper presents our views on CHO delay and interruption requirements.</w:t>
      </w:r>
    </w:p>
    <w:p w14:paraId="1E028E7C" w14:textId="46AF5848" w:rsidR="00EE7592" w:rsidRDefault="00C51EC1" w:rsidP="00EE7592">
      <w:pPr>
        <w:pStyle w:val="Heading1"/>
        <w:rPr>
          <w:lang w:val="en-US"/>
        </w:rPr>
      </w:pPr>
      <w:r>
        <w:rPr>
          <w:lang w:val="en-US"/>
        </w:rPr>
        <w:t>Discussion</w:t>
      </w:r>
    </w:p>
    <w:p w14:paraId="4FDAAD14" w14:textId="56203C77" w:rsidR="006E1831" w:rsidRDefault="00FD68E8" w:rsidP="006E1831">
      <w:pPr>
        <w:rPr>
          <w:lang w:val="en-US"/>
        </w:rPr>
      </w:pPr>
      <w:r>
        <w:rPr>
          <w:lang w:val="en-US"/>
        </w:rPr>
        <w:t xml:space="preserve">Figure 1 shows the timeline of </w:t>
      </w:r>
      <w:r w:rsidR="005F711D">
        <w:rPr>
          <w:lang w:val="en-US"/>
        </w:rPr>
        <w:t xml:space="preserve">legacy HO in which HO delay is defined from the end of the last TTI </w:t>
      </w:r>
      <w:r w:rsidR="00ED7E0C">
        <w:rPr>
          <w:lang w:val="en-US"/>
        </w:rPr>
        <w:t>containing RRC command until when UE is ready to start transmission of uplink PRACH channel. During this interval, the interrupt time is defined as:</w:t>
      </w:r>
    </w:p>
    <w:p w14:paraId="2DBC7BAC" w14:textId="08B2BCF9" w:rsidR="00ED7E0C" w:rsidRPr="00ED7E0C" w:rsidRDefault="0030744A" w:rsidP="006E1831">
      <w:pPr>
        <w:rPr>
          <w:lang w:val="en-US"/>
        </w:rPr>
      </w:pPr>
      <m:oMathPara>
        <m:oMath>
          <m:sSub>
            <m:sSubPr>
              <m:ctrlPr>
                <w:rPr>
                  <w:rFonts w:ascii="Cambria Math" w:hAnsi="Cambria Math"/>
                  <w:i/>
                  <w:lang w:val="en-US"/>
                </w:rPr>
              </m:ctrlPr>
            </m:sSubPr>
            <m:e>
              <m:r>
                <m:rPr>
                  <m:nor/>
                </m:rPr>
                <w:rPr>
                  <w:rFonts w:ascii="Cambria Math" w:hAnsi="Cambria Math"/>
                  <w:lang w:val="en-US"/>
                </w:rPr>
                <m:t>T</m:t>
              </m:r>
            </m:e>
            <m:sub>
              <m:r>
                <m:rPr>
                  <m:nor/>
                </m:rPr>
                <w:rPr>
                  <w:rFonts w:ascii="Cambria Math" w:hAnsi="Cambria Math"/>
                  <w:lang w:val="en-US"/>
                </w:rPr>
                <m:t>interrupt</m:t>
              </m:r>
            </m:sub>
          </m:sSub>
          <m:r>
            <m:rPr>
              <m:nor/>
            </m:rPr>
            <w:rPr>
              <w:rFonts w:ascii="Cambria Math" w:hAnsi="Cambria Math"/>
              <w:lang w:val="en-US"/>
            </w:rPr>
            <m:t>=</m:t>
          </m:r>
          <m:sSub>
            <m:sSubPr>
              <m:ctrlPr>
                <w:rPr>
                  <w:rFonts w:ascii="Cambria Math" w:hAnsi="Cambria Math"/>
                  <w:i/>
                  <w:lang w:val="en-US"/>
                </w:rPr>
              </m:ctrlPr>
            </m:sSubPr>
            <m:e>
              <m:r>
                <m:rPr>
                  <m:nor/>
                </m:rPr>
                <w:rPr>
                  <w:rFonts w:ascii="Cambria Math" w:hAnsi="Cambria Math"/>
                  <w:lang w:val="en-US"/>
                </w:rPr>
                <m:t>T</m:t>
              </m:r>
            </m:e>
            <m:sub>
              <m:r>
                <m:rPr>
                  <m:nor/>
                </m:rPr>
                <w:rPr>
                  <w:rFonts w:ascii="Cambria Math" w:hAnsi="Cambria Math"/>
                  <w:lang w:val="en-US"/>
                </w:rPr>
                <m:t>search</m:t>
              </m:r>
            </m:sub>
          </m:sSub>
          <m:r>
            <m:rPr>
              <m:nor/>
            </m:rPr>
            <w:rPr>
              <w:rFonts w:ascii="Cambria Math" w:hAnsi="Cambria Math"/>
              <w:lang w:val="en-US"/>
            </w:rPr>
            <m:t>+</m:t>
          </m:r>
          <m:sSub>
            <m:sSubPr>
              <m:ctrlPr>
                <w:rPr>
                  <w:rFonts w:ascii="Cambria Math" w:hAnsi="Cambria Math"/>
                  <w:i/>
                  <w:lang w:val="en-US"/>
                </w:rPr>
              </m:ctrlPr>
            </m:sSubPr>
            <m:e>
              <m:r>
                <m:rPr>
                  <m:nor/>
                </m:rPr>
                <w:rPr>
                  <w:rFonts w:ascii="Cambria Math" w:hAnsi="Cambria Math"/>
                  <w:lang w:val="en-US"/>
                </w:rPr>
                <m:t>T</m:t>
              </m:r>
            </m:e>
            <m:sub>
              <m:r>
                <m:rPr>
                  <m:nor/>
                </m:rPr>
                <w:rPr>
                  <w:rFonts w:ascii="Cambria Math" w:hAnsi="Cambria Math"/>
                  <w:lang w:val="en-US"/>
                </w:rPr>
                <m:t>IU</m:t>
              </m:r>
            </m:sub>
          </m:sSub>
          <m:r>
            <m:rPr>
              <m:nor/>
            </m:rPr>
            <w:rPr>
              <w:rFonts w:ascii="Cambria Math" w:hAnsi="Cambria Math"/>
              <w:lang w:val="en-US"/>
            </w:rPr>
            <m:t>+20 ms</m:t>
          </m:r>
        </m:oMath>
      </m:oMathPara>
    </w:p>
    <w:p w14:paraId="4C085148" w14:textId="5772F5F0" w:rsidR="00ED7E0C" w:rsidRDefault="00ED7E0C" w:rsidP="006E1831">
      <w:pPr>
        <w:rPr>
          <w:lang w:val="en-US"/>
        </w:rPr>
      </w:pPr>
      <w:r>
        <w:rPr>
          <w:lang w:val="en-US"/>
        </w:rPr>
        <w:t xml:space="preserve">where </w:t>
      </w:r>
      <m:oMath>
        <m:sSub>
          <m:sSubPr>
            <m:ctrlPr>
              <w:rPr>
                <w:rFonts w:ascii="Cambria Math" w:hAnsi="Cambria Math"/>
                <w:i/>
                <w:lang w:val="en-US"/>
              </w:rPr>
            </m:ctrlPr>
          </m:sSubPr>
          <m:e>
            <m:r>
              <m:rPr>
                <m:nor/>
              </m:rPr>
              <w:rPr>
                <w:rFonts w:ascii="Cambria Math" w:hAnsi="Cambria Math"/>
                <w:lang w:val="en-US"/>
              </w:rPr>
              <m:t>T</m:t>
            </m:r>
          </m:e>
          <m:sub>
            <m:r>
              <m:rPr>
                <m:nor/>
              </m:rPr>
              <w:rPr>
                <w:rFonts w:ascii="Cambria Math" w:hAnsi="Cambria Math"/>
                <w:lang w:val="en-US"/>
              </w:rPr>
              <m:t>search</m:t>
            </m:r>
          </m:sub>
        </m:sSub>
      </m:oMath>
      <w:r>
        <w:rPr>
          <w:lang w:val="en-US"/>
        </w:rPr>
        <w:t xml:space="preserve"> is the time required to search the target cell when the target cell is not known, </w:t>
      </w:r>
      <m:oMath>
        <m:sSub>
          <m:sSubPr>
            <m:ctrlPr>
              <w:rPr>
                <w:rFonts w:ascii="Cambria Math" w:hAnsi="Cambria Math"/>
                <w:i/>
                <w:lang w:val="en-US"/>
              </w:rPr>
            </m:ctrlPr>
          </m:sSubPr>
          <m:e>
            <m:r>
              <m:rPr>
                <m:nor/>
              </m:rPr>
              <w:rPr>
                <w:rFonts w:ascii="Cambria Math" w:hAnsi="Cambria Math"/>
                <w:lang w:val="en-US"/>
              </w:rPr>
              <m:t>T</m:t>
            </m:r>
          </m:e>
          <m:sub>
            <m:r>
              <m:rPr>
                <m:nor/>
              </m:rPr>
              <w:rPr>
                <w:rFonts w:ascii="Cambria Math" w:hAnsi="Cambria Math"/>
                <w:lang w:val="en-US"/>
              </w:rPr>
              <m:t>IU</m:t>
            </m:r>
          </m:sub>
        </m:sSub>
      </m:oMath>
      <w:r>
        <w:rPr>
          <w:lang w:val="en-US"/>
        </w:rPr>
        <w:t xml:space="preserve"> is the interruption uncertainty in acquiring the first available PRACH occasion in the new cell and UE processing delay is 20 ms. </w:t>
      </w:r>
      <w:r w:rsidR="00BD2743">
        <w:rPr>
          <w:lang w:val="en-US"/>
        </w:rPr>
        <w:t xml:space="preserve">Hence, </w:t>
      </w:r>
    </w:p>
    <w:p w14:paraId="7051D41F" w14:textId="22CADD30" w:rsidR="00BD2743" w:rsidRDefault="0030744A" w:rsidP="006E1831">
      <w:pPr>
        <w:rPr>
          <w:lang w:val="en-US"/>
        </w:rPr>
      </w:pPr>
      <m:oMathPara>
        <m:oMath>
          <m:sSub>
            <m:sSubPr>
              <m:ctrlPr>
                <w:rPr>
                  <w:rFonts w:ascii="Cambria Math" w:hAnsi="Cambria Math"/>
                  <w:i/>
                  <w:lang w:val="en-US"/>
                </w:rPr>
              </m:ctrlPr>
            </m:sSubPr>
            <m:e>
              <m:r>
                <m:rPr>
                  <m:nor/>
                </m:rPr>
                <w:rPr>
                  <w:rFonts w:ascii="Cambria Math" w:hAnsi="Cambria Math"/>
                  <w:lang w:val="en-US"/>
                </w:rPr>
                <m:t>D</m:t>
              </m:r>
            </m:e>
            <m:sub>
              <m:r>
                <m:rPr>
                  <m:nor/>
                </m:rPr>
                <w:rPr>
                  <w:rFonts w:ascii="Cambria Math" w:hAnsi="Cambria Math"/>
                  <w:lang w:val="en-US"/>
                </w:rPr>
                <m:t>handover</m:t>
              </m:r>
            </m:sub>
          </m:sSub>
          <m:r>
            <w:rPr>
              <w:rFonts w:ascii="Cambria Math" w:hAnsi="Cambria Math"/>
              <w:lang w:val="en-US"/>
            </w:rPr>
            <m:t xml:space="preserve">=  </m:t>
          </m:r>
          <m:sSub>
            <m:sSubPr>
              <m:ctrlPr>
                <w:rPr>
                  <w:rFonts w:ascii="Cambria Math" w:hAnsi="Cambria Math"/>
                  <w:i/>
                  <w:lang w:val="en-US"/>
                </w:rPr>
              </m:ctrlPr>
            </m:sSubPr>
            <m:e>
              <m:r>
                <m:rPr>
                  <m:nor/>
                </m:rPr>
                <w:rPr>
                  <w:rFonts w:ascii="Cambria Math" w:hAnsi="Cambria Math"/>
                  <w:lang w:val="en-US"/>
                </w:rPr>
                <m:t>D</m:t>
              </m:r>
            </m:e>
            <m:sub>
              <m:r>
                <m:rPr>
                  <m:nor/>
                </m:rPr>
                <w:rPr>
                  <w:rFonts w:ascii="Cambria Math" w:hAnsi="Cambria Math"/>
                  <w:lang w:val="en-US"/>
                </w:rPr>
                <m:t>RRC</m:t>
              </m:r>
            </m:sub>
          </m:sSub>
          <m:r>
            <w:rPr>
              <w:rFonts w:ascii="Cambria Math" w:hAnsi="Cambria Math"/>
              <w:lang w:val="en-US"/>
            </w:rPr>
            <m:t>+</m:t>
          </m:r>
          <m:sSub>
            <m:sSubPr>
              <m:ctrlPr>
                <w:rPr>
                  <w:rFonts w:ascii="Cambria Math" w:hAnsi="Cambria Math"/>
                  <w:i/>
                  <w:lang w:val="en-US"/>
                </w:rPr>
              </m:ctrlPr>
            </m:sSubPr>
            <m:e>
              <m:r>
                <m:rPr>
                  <m:nor/>
                </m:rPr>
                <w:rPr>
                  <w:rFonts w:ascii="Cambria Math" w:hAnsi="Cambria Math"/>
                  <w:lang w:val="en-US"/>
                </w:rPr>
                <m:t>T</m:t>
              </m:r>
            </m:e>
            <m:sub>
              <m:r>
                <m:rPr>
                  <m:nor/>
                </m:rPr>
                <w:rPr>
                  <w:rFonts w:ascii="Cambria Math" w:hAnsi="Cambria Math"/>
                  <w:lang w:val="en-US"/>
                </w:rPr>
                <m:t>interrupt</m:t>
              </m:r>
            </m:sub>
          </m:sSub>
          <m:r>
            <w:rPr>
              <w:rFonts w:ascii="Cambria Math" w:hAnsi="Cambria Math"/>
              <w:lang w:val="en-US"/>
            </w:rPr>
            <m:t xml:space="preserve"> </m:t>
          </m:r>
        </m:oMath>
      </m:oMathPara>
    </w:p>
    <w:p w14:paraId="62D7BE98" w14:textId="09B7C2B6" w:rsidR="0068220D" w:rsidRDefault="0068220D" w:rsidP="006E1831">
      <w:pPr>
        <w:rPr>
          <w:lang w:val="en-US"/>
        </w:rPr>
      </w:pPr>
    </w:p>
    <w:p w14:paraId="7BFFF229" w14:textId="77777777" w:rsidR="0068220D" w:rsidRDefault="0068220D" w:rsidP="0068220D">
      <w:pPr>
        <w:keepNext/>
        <w:jc w:val="center"/>
      </w:pPr>
      <w:r>
        <w:object w:dxaOrig="9223" w:dyaOrig="2085" w14:anchorId="04693B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104.25pt" o:ole="">
            <v:imagedata r:id="rId8" o:title=""/>
          </v:shape>
          <o:OLEObject Type="Embed" ProgID="Visio.Drawing.11" ShapeID="_x0000_i1025" DrawAspect="Content" ObjectID="_1618394381" r:id="rId9"/>
        </w:object>
      </w:r>
    </w:p>
    <w:p w14:paraId="69B56C66" w14:textId="306127D2" w:rsidR="0068220D" w:rsidRDefault="0068220D" w:rsidP="0068220D">
      <w:pPr>
        <w:pStyle w:val="Caption"/>
        <w:jc w:val="center"/>
      </w:pPr>
      <w:r>
        <w:t xml:space="preserve">Figure </w:t>
      </w:r>
      <w:r>
        <w:fldChar w:fldCharType="begin"/>
      </w:r>
      <w:r>
        <w:instrText xml:space="preserve"> SEQ Figure \* ARABIC </w:instrText>
      </w:r>
      <w:r>
        <w:fldChar w:fldCharType="separate"/>
      </w:r>
      <w:r w:rsidR="00BD2743">
        <w:rPr>
          <w:noProof/>
        </w:rPr>
        <w:t>1</w:t>
      </w:r>
      <w:r>
        <w:fldChar w:fldCharType="end"/>
      </w:r>
      <w:r>
        <w:t xml:space="preserve"> </w:t>
      </w:r>
      <w:r w:rsidR="005F711D">
        <w:t>Legacy</w:t>
      </w:r>
      <w:r>
        <w:t xml:space="preserve"> HO timeline</w:t>
      </w:r>
    </w:p>
    <w:p w14:paraId="51F2807B" w14:textId="77777777" w:rsidR="00BD2743" w:rsidRPr="00BD2743" w:rsidRDefault="00BD2743" w:rsidP="00BD2743"/>
    <w:p w14:paraId="61333ED7" w14:textId="1262FAA3" w:rsidR="00BD2743" w:rsidRDefault="00BD2743" w:rsidP="00BD2743">
      <w:pPr>
        <w:rPr>
          <w:lang w:val="en-US"/>
        </w:rPr>
      </w:pPr>
      <w:r>
        <w:rPr>
          <w:lang w:val="en-US"/>
        </w:rPr>
        <w:t xml:space="preserve">With this baseline definition, conditional HO timeline is illustrated in Figure 2. </w:t>
      </w:r>
      <w:r w:rsidR="0088503E">
        <w:rPr>
          <w:lang w:val="en-US"/>
        </w:rPr>
        <w:t xml:space="preserve">Since target cell is known in CHO and its handover condition is assessed by UE,  </w:t>
      </w:r>
      <m:oMath>
        <m:sSub>
          <m:sSubPr>
            <m:ctrlPr>
              <w:rPr>
                <w:rFonts w:ascii="Cambria Math" w:hAnsi="Cambria Math"/>
                <w:i/>
                <w:lang w:val="en-US"/>
              </w:rPr>
            </m:ctrlPr>
          </m:sSubPr>
          <m:e>
            <m:r>
              <m:rPr>
                <m:nor/>
              </m:rPr>
              <w:rPr>
                <w:rFonts w:ascii="Cambria Math" w:hAnsi="Cambria Math"/>
                <w:lang w:val="en-US"/>
              </w:rPr>
              <m:t>T</m:t>
            </m:r>
          </m:e>
          <m:sub>
            <m:r>
              <m:rPr>
                <m:nor/>
              </m:rPr>
              <w:rPr>
                <w:rFonts w:ascii="Cambria Math" w:hAnsi="Cambria Math"/>
                <w:lang w:val="en-US"/>
              </w:rPr>
              <m:t>search</m:t>
            </m:r>
          </m:sub>
        </m:sSub>
        <m:r>
          <w:rPr>
            <w:rFonts w:ascii="Cambria Math" w:hAnsi="Cambria Math"/>
            <w:lang w:val="en-US"/>
          </w:rPr>
          <m:t>=0</m:t>
        </m:r>
      </m:oMath>
      <w:r w:rsidR="0088503E">
        <w:rPr>
          <w:lang w:val="en-US"/>
        </w:rPr>
        <w:t xml:space="preserve"> as it was also observed and proposed in [1]. Hence, </w:t>
      </w:r>
      <m:oMath>
        <m:sSub>
          <m:sSubPr>
            <m:ctrlPr>
              <w:rPr>
                <w:rFonts w:ascii="Cambria Math" w:hAnsi="Cambria Math"/>
                <w:i/>
                <w:lang w:val="en-US"/>
              </w:rPr>
            </m:ctrlPr>
          </m:sSubPr>
          <m:e>
            <m:r>
              <m:rPr>
                <m:nor/>
              </m:rPr>
              <w:rPr>
                <w:rFonts w:ascii="Cambria Math" w:hAnsi="Cambria Math"/>
                <w:lang w:val="en-US"/>
              </w:rPr>
              <m:t>T</m:t>
            </m:r>
          </m:e>
          <m:sub>
            <m:r>
              <m:rPr>
                <m:nor/>
              </m:rPr>
              <w:rPr>
                <w:rFonts w:ascii="Cambria Math" w:hAnsi="Cambria Math"/>
                <w:lang w:val="en-US"/>
              </w:rPr>
              <m:t>search</m:t>
            </m:r>
          </m:sub>
        </m:sSub>
      </m:oMath>
      <w:r w:rsidR="0088503E">
        <w:rPr>
          <w:lang w:val="en-US"/>
        </w:rPr>
        <w:t xml:space="preserve"> is removed from interrupt region in Figure 2. </w:t>
      </w:r>
    </w:p>
    <w:p w14:paraId="2A3635AE" w14:textId="68B812CF" w:rsidR="00FF4088" w:rsidRPr="0088503E" w:rsidRDefault="0088503E" w:rsidP="00BD2743">
      <w:pPr>
        <w:rPr>
          <w:b/>
          <w:lang w:val="en-US"/>
        </w:rPr>
      </w:pPr>
      <w:r w:rsidRPr="0088503E">
        <w:rPr>
          <w:b/>
          <w:lang w:val="en-US"/>
        </w:rPr>
        <w:t xml:space="preserve">Proposal 1. </w:t>
      </w:r>
      <m:oMath>
        <m:sSub>
          <m:sSubPr>
            <m:ctrlPr>
              <w:rPr>
                <w:rFonts w:ascii="Cambria Math" w:hAnsi="Cambria Math"/>
                <w:b/>
                <w:i/>
                <w:lang w:val="en-US"/>
              </w:rPr>
            </m:ctrlPr>
          </m:sSubPr>
          <m:e>
            <m:r>
              <m:rPr>
                <m:nor/>
              </m:rPr>
              <w:rPr>
                <w:rFonts w:ascii="Cambria Math" w:hAnsi="Cambria Math"/>
                <w:b/>
                <w:lang w:val="en-US"/>
              </w:rPr>
              <m:t>T</m:t>
            </m:r>
          </m:e>
          <m:sub>
            <m:r>
              <m:rPr>
                <m:nor/>
              </m:rPr>
              <w:rPr>
                <w:rFonts w:ascii="Cambria Math" w:hAnsi="Cambria Math"/>
                <w:b/>
                <w:lang w:val="en-US"/>
              </w:rPr>
              <m:t>search</m:t>
            </m:r>
          </m:sub>
        </m:sSub>
        <m:r>
          <m:rPr>
            <m:sty m:val="bi"/>
          </m:rPr>
          <w:rPr>
            <w:rFonts w:ascii="Cambria Math" w:hAnsi="Cambria Math"/>
            <w:lang w:val="en-US"/>
          </w:rPr>
          <m:t>=0</m:t>
        </m:r>
      </m:oMath>
      <w:r w:rsidRPr="0088503E">
        <w:rPr>
          <w:b/>
          <w:lang w:val="en-US"/>
        </w:rPr>
        <w:t xml:space="preserve"> in CHO.</w:t>
      </w:r>
    </w:p>
    <w:p w14:paraId="0030F8D9" w14:textId="1A4E27D0" w:rsidR="00BD2743" w:rsidRDefault="00A6379D" w:rsidP="00BD2743">
      <w:pPr>
        <w:keepNext/>
        <w:jc w:val="center"/>
      </w:pPr>
      <w:r>
        <w:object w:dxaOrig="9181" w:dyaOrig="2752" w14:anchorId="1E1B59BB">
          <v:shape id="_x0000_i1026" type="#_x0000_t75" style="width:459pt;height:138pt" o:ole="">
            <v:imagedata r:id="rId10" o:title=""/>
          </v:shape>
          <o:OLEObject Type="Embed" ProgID="Visio.Drawing.11" ShapeID="_x0000_i1026" DrawAspect="Content" ObjectID="_1618394382" r:id="rId11"/>
        </w:object>
      </w:r>
    </w:p>
    <w:p w14:paraId="7D2DEAA7" w14:textId="38F8BEE3" w:rsidR="00BD2743" w:rsidRDefault="00BD2743" w:rsidP="00BD2743">
      <w:pPr>
        <w:pStyle w:val="Caption"/>
        <w:jc w:val="center"/>
        <w:rPr>
          <w:lang w:val="en-US"/>
        </w:rPr>
      </w:pPr>
      <w:r>
        <w:t xml:space="preserve">Figure </w:t>
      </w:r>
      <w:r>
        <w:fldChar w:fldCharType="begin"/>
      </w:r>
      <w:r>
        <w:instrText xml:space="preserve"> SEQ Figure \* ARABIC </w:instrText>
      </w:r>
      <w:r>
        <w:fldChar w:fldCharType="separate"/>
      </w:r>
      <w:r>
        <w:rPr>
          <w:noProof/>
        </w:rPr>
        <w:t>2</w:t>
      </w:r>
      <w:r>
        <w:fldChar w:fldCharType="end"/>
      </w:r>
      <w:r>
        <w:t xml:space="preserve"> CHO timeline</w:t>
      </w:r>
    </w:p>
    <w:p w14:paraId="7A0F11A4" w14:textId="66B311CC" w:rsidR="00B0433E" w:rsidRDefault="00FF4088" w:rsidP="00BD2743">
      <w:pPr>
        <w:rPr>
          <w:lang w:val="en-US"/>
        </w:rPr>
      </w:pPr>
      <w:r>
        <w:rPr>
          <w:lang w:val="en-US"/>
        </w:rPr>
        <w:t xml:space="preserve">In our view, the RRC processing delay </w:t>
      </w:r>
      <w:r w:rsidR="00F45E8D">
        <w:rPr>
          <w:lang w:val="en-US"/>
        </w:rPr>
        <w:t>should be</w:t>
      </w:r>
      <w:r>
        <w:rPr>
          <w:lang w:val="en-US"/>
        </w:rPr>
        <w:t xml:space="preserve"> broken into two segments in CHO and cannot be considered to be completely exhausted upon the receipt of the RRC command. </w:t>
      </w:r>
      <w:r w:rsidR="003F3AE4">
        <w:rPr>
          <w:lang w:val="en-US"/>
        </w:rPr>
        <w:t xml:space="preserve">Clause 5.3.5.4 of </w:t>
      </w:r>
      <w:r w:rsidR="002267E7">
        <w:rPr>
          <w:lang w:val="en-US"/>
        </w:rPr>
        <w:t>[2]</w:t>
      </w:r>
      <w:r w:rsidR="003F3AE4">
        <w:rPr>
          <w:lang w:val="en-US"/>
        </w:rPr>
        <w:t xml:space="preserve"> lists all the actions UE shall take upon receipt of the </w:t>
      </w:r>
      <w:r w:rsidR="003F3AE4" w:rsidRPr="003F3AE4">
        <w:rPr>
          <w:i/>
          <w:lang w:val="en-US"/>
        </w:rPr>
        <w:t>RRCConnectionReconfiguration</w:t>
      </w:r>
      <w:r w:rsidR="003F3AE4">
        <w:rPr>
          <w:lang w:val="en-US"/>
        </w:rPr>
        <w:t xml:space="preserve"> related to legacy HO. The delay corresponding to message validation and execution of some of the steps listed in clause 5.3.5.4 should be included and accounted from the end of the last TTI containing the RRC command. However, many steps in this clause cannot be executed until the first condition specified in the </w:t>
      </w:r>
      <w:r w:rsidR="006722AB">
        <w:rPr>
          <w:lang w:val="en-US"/>
        </w:rPr>
        <w:t>C</w:t>
      </w:r>
      <w:r w:rsidR="003F3AE4">
        <w:rPr>
          <w:lang w:val="en-US"/>
        </w:rPr>
        <w:t xml:space="preserve">HO command is met </w:t>
      </w:r>
      <w:r w:rsidR="00B0433E">
        <w:rPr>
          <w:lang w:val="en-US"/>
        </w:rPr>
        <w:t>since:</w:t>
      </w:r>
    </w:p>
    <w:p w14:paraId="5998EA13" w14:textId="72F85D2F" w:rsidR="00B0433E" w:rsidRPr="00B0433E" w:rsidRDefault="003F3AE4" w:rsidP="00B0433E">
      <w:pPr>
        <w:pStyle w:val="ListParagraph"/>
        <w:numPr>
          <w:ilvl w:val="0"/>
          <w:numId w:val="23"/>
        </w:numPr>
        <w:rPr>
          <w:sz w:val="20"/>
        </w:rPr>
      </w:pPr>
      <w:r w:rsidRPr="00B0433E">
        <w:rPr>
          <w:sz w:val="20"/>
        </w:rPr>
        <w:t>only in th</w:t>
      </w:r>
      <w:r w:rsidR="00B0433E" w:rsidRPr="00B0433E">
        <w:rPr>
          <w:sz w:val="20"/>
        </w:rPr>
        <w:t>at</w:t>
      </w:r>
      <w:r w:rsidRPr="00B0433E">
        <w:rPr>
          <w:sz w:val="20"/>
        </w:rPr>
        <w:t xml:space="preserve"> instance of time</w:t>
      </w:r>
      <w:r w:rsidR="00B0433E" w:rsidRPr="00B0433E">
        <w:rPr>
          <w:sz w:val="20"/>
        </w:rPr>
        <w:t xml:space="preserve"> </w:t>
      </w:r>
      <w:r w:rsidRPr="00B0433E">
        <w:rPr>
          <w:sz w:val="20"/>
        </w:rPr>
        <w:t>the identity of the target cell is known</w:t>
      </w:r>
    </w:p>
    <w:p w14:paraId="449CF7B0" w14:textId="6659AE5E" w:rsidR="00B0433E" w:rsidRPr="00B0433E" w:rsidRDefault="00B0433E" w:rsidP="00B0433E">
      <w:pPr>
        <w:pStyle w:val="ListParagraph"/>
        <w:numPr>
          <w:ilvl w:val="0"/>
          <w:numId w:val="23"/>
        </w:numPr>
        <w:rPr>
          <w:sz w:val="20"/>
        </w:rPr>
      </w:pPr>
      <w:r w:rsidRPr="00B0433E">
        <w:rPr>
          <w:sz w:val="20"/>
        </w:rPr>
        <w:t xml:space="preserve">UE can prematurely declare RLF if some of the steps are executed as it is possible that the conditions configured in CHO command </w:t>
      </w:r>
      <w:r w:rsidR="006722AB">
        <w:rPr>
          <w:sz w:val="20"/>
        </w:rPr>
        <w:t>are</w:t>
      </w:r>
      <w:r w:rsidRPr="00B0433E">
        <w:rPr>
          <w:sz w:val="20"/>
        </w:rPr>
        <w:t xml:space="preserve"> never met</w:t>
      </w:r>
    </w:p>
    <w:p w14:paraId="2D47CE0C" w14:textId="77777777" w:rsidR="00B0433E" w:rsidRDefault="00B0433E" w:rsidP="00B0433E">
      <w:pPr>
        <w:pStyle w:val="ListParagraph"/>
      </w:pPr>
    </w:p>
    <w:p w14:paraId="11143253" w14:textId="3D496B0F" w:rsidR="00BD2743" w:rsidRPr="00B0433E" w:rsidRDefault="003F3AE4" w:rsidP="00B0433E">
      <w:r w:rsidRPr="00B0433E">
        <w:t>The following lists some of the steps that can only be executed after condition for HO is met:</w:t>
      </w:r>
    </w:p>
    <w:p w14:paraId="08FD1C37" w14:textId="16CF3527" w:rsidR="003F3AE4" w:rsidRPr="003F3AE4" w:rsidRDefault="003F3AE4" w:rsidP="003F3AE4">
      <w:pPr>
        <w:pStyle w:val="ListParagraph"/>
        <w:numPr>
          <w:ilvl w:val="0"/>
          <w:numId w:val="21"/>
        </w:numPr>
        <w:contextualSpacing w:val="0"/>
        <w:rPr>
          <w:rFonts w:cs="Calibri"/>
          <w:color w:val="000000" w:themeColor="text1"/>
          <w:sz w:val="20"/>
          <w:szCs w:val="20"/>
        </w:rPr>
      </w:pPr>
      <w:r w:rsidRPr="003F3AE4">
        <w:rPr>
          <w:rFonts w:cs="Calibri"/>
          <w:color w:val="000000" w:themeColor="text1"/>
          <w:sz w:val="20"/>
          <w:szCs w:val="20"/>
        </w:rPr>
        <w:t>Stop timers</w:t>
      </w:r>
      <w:r>
        <w:rPr>
          <w:rFonts w:cs="Calibri"/>
          <w:color w:val="000000" w:themeColor="text1"/>
          <w:sz w:val="20"/>
          <w:szCs w:val="20"/>
        </w:rPr>
        <w:t xml:space="preserve"> (T310, T312, T370)</w:t>
      </w:r>
      <w:r w:rsidRPr="003F3AE4">
        <w:rPr>
          <w:rFonts w:cs="Calibri"/>
          <w:color w:val="000000" w:themeColor="text1"/>
          <w:sz w:val="20"/>
          <w:szCs w:val="20"/>
        </w:rPr>
        <w:t xml:space="preserve"> if running </w:t>
      </w:r>
    </w:p>
    <w:p w14:paraId="60F4BFFF" w14:textId="77777777" w:rsidR="003F3AE4" w:rsidRPr="003F3AE4" w:rsidRDefault="003F3AE4" w:rsidP="003F3AE4">
      <w:pPr>
        <w:pStyle w:val="ListParagraph"/>
        <w:numPr>
          <w:ilvl w:val="0"/>
          <w:numId w:val="21"/>
        </w:numPr>
        <w:contextualSpacing w:val="0"/>
        <w:rPr>
          <w:rFonts w:cs="Calibri"/>
          <w:color w:val="000000" w:themeColor="text1"/>
          <w:sz w:val="20"/>
          <w:szCs w:val="20"/>
        </w:rPr>
      </w:pPr>
      <w:r w:rsidRPr="003F3AE4">
        <w:rPr>
          <w:rFonts w:cs="Calibri"/>
          <w:color w:val="000000" w:themeColor="text1"/>
          <w:sz w:val="20"/>
          <w:szCs w:val="20"/>
        </w:rPr>
        <w:t>If timer T309 is running, stop it and alleviate access barring</w:t>
      </w:r>
    </w:p>
    <w:p w14:paraId="67AB2DC7" w14:textId="5B0EC58E" w:rsidR="003F3AE4" w:rsidRPr="003F3AE4" w:rsidRDefault="003F3AE4"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A</w:t>
      </w:r>
      <w:r w:rsidRPr="003F3AE4">
        <w:rPr>
          <w:rFonts w:cs="Calibri"/>
          <w:color w:val="000000" w:themeColor="text1"/>
          <w:sz w:val="20"/>
          <w:szCs w:val="20"/>
        </w:rPr>
        <w:t>cquire the MasterInformationBlock in the target PCell</w:t>
      </w:r>
    </w:p>
    <w:p w14:paraId="2D08165E" w14:textId="65CA0563" w:rsidR="003F3AE4" w:rsidRPr="003F3AE4" w:rsidRDefault="002D3495"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R</w:t>
      </w:r>
      <w:r w:rsidR="003F3AE4" w:rsidRPr="003F3AE4">
        <w:rPr>
          <w:rFonts w:cs="Calibri"/>
          <w:color w:val="000000" w:themeColor="text1"/>
          <w:sz w:val="20"/>
          <w:szCs w:val="20"/>
        </w:rPr>
        <w:t xml:space="preserve">elease UL data compression configuration </w:t>
      </w:r>
    </w:p>
    <w:p w14:paraId="2A4EDD48" w14:textId="77777777" w:rsidR="003F3AE4" w:rsidRPr="003F3AE4" w:rsidRDefault="003F3AE4" w:rsidP="003F3AE4">
      <w:pPr>
        <w:pStyle w:val="ListParagraph"/>
        <w:numPr>
          <w:ilvl w:val="0"/>
          <w:numId w:val="21"/>
        </w:numPr>
        <w:contextualSpacing w:val="0"/>
        <w:rPr>
          <w:rFonts w:cs="Calibri"/>
          <w:color w:val="000000" w:themeColor="text1"/>
          <w:sz w:val="20"/>
          <w:szCs w:val="20"/>
        </w:rPr>
      </w:pPr>
      <w:r w:rsidRPr="003F3AE4">
        <w:rPr>
          <w:rFonts w:cs="Calibri"/>
          <w:color w:val="000000" w:themeColor="text1"/>
          <w:sz w:val="20"/>
          <w:szCs w:val="20"/>
        </w:rPr>
        <w:t>PDCP re-establishment as needed</w:t>
      </w:r>
    </w:p>
    <w:p w14:paraId="2E8BD16C" w14:textId="77777777" w:rsidR="003F3AE4" w:rsidRPr="003F3AE4" w:rsidRDefault="003F3AE4" w:rsidP="003F3AE4">
      <w:pPr>
        <w:pStyle w:val="ListParagraph"/>
        <w:numPr>
          <w:ilvl w:val="0"/>
          <w:numId w:val="21"/>
        </w:numPr>
        <w:contextualSpacing w:val="0"/>
        <w:rPr>
          <w:rFonts w:cs="Calibri"/>
          <w:color w:val="000000" w:themeColor="text1"/>
          <w:sz w:val="20"/>
          <w:szCs w:val="20"/>
        </w:rPr>
      </w:pPr>
      <w:r w:rsidRPr="003F3AE4">
        <w:rPr>
          <w:rFonts w:cs="Calibri"/>
          <w:color w:val="000000" w:themeColor="text1"/>
          <w:sz w:val="20"/>
          <w:szCs w:val="20"/>
        </w:rPr>
        <w:t xml:space="preserve">Apply the SCell configuration at the target cell (activation/deactivation/dormant) </w:t>
      </w:r>
    </w:p>
    <w:p w14:paraId="44EDF3E7" w14:textId="7E1E54AD" w:rsidR="003F3AE4" w:rsidRPr="003F3AE4" w:rsidRDefault="006E5199"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A</w:t>
      </w:r>
      <w:r w:rsidR="003F3AE4" w:rsidRPr="003F3AE4">
        <w:rPr>
          <w:rFonts w:cs="Calibri"/>
          <w:color w:val="000000" w:themeColor="text1"/>
          <w:sz w:val="20"/>
          <w:szCs w:val="20"/>
        </w:rPr>
        <w:t>pply the value of the newUE-Identity as the C-RNTI</w:t>
      </w:r>
    </w:p>
    <w:p w14:paraId="77B2AC52" w14:textId="35532626" w:rsidR="003F3AE4" w:rsidRPr="003F3AE4" w:rsidRDefault="006E5199"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A</w:t>
      </w:r>
      <w:r w:rsidR="003F3AE4" w:rsidRPr="003F3AE4">
        <w:rPr>
          <w:rFonts w:cs="Calibri"/>
          <w:color w:val="000000" w:themeColor="text1"/>
          <w:sz w:val="20"/>
          <w:szCs w:val="20"/>
        </w:rPr>
        <w:t xml:space="preserve">pply the radio configuration procedure (both the common and the dedicated configuration) </w:t>
      </w:r>
    </w:p>
    <w:p w14:paraId="1C89C9F7" w14:textId="4A8D9B20" w:rsidR="003F3AE4" w:rsidRPr="003F3AE4" w:rsidRDefault="006E5199"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P</w:t>
      </w:r>
      <w:r w:rsidR="003F3AE4" w:rsidRPr="003F3AE4">
        <w:rPr>
          <w:rFonts w:cs="Calibri"/>
          <w:color w:val="000000" w:themeColor="text1"/>
          <w:sz w:val="20"/>
          <w:szCs w:val="20"/>
        </w:rPr>
        <w:t xml:space="preserve">erform lower layers configuration </w:t>
      </w:r>
    </w:p>
    <w:p w14:paraId="6D15CC17" w14:textId="48B1AA41" w:rsidR="003F3AE4" w:rsidRPr="003F3AE4" w:rsidRDefault="006E5199"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P</w:t>
      </w:r>
      <w:r w:rsidR="003F3AE4" w:rsidRPr="003F3AE4">
        <w:rPr>
          <w:rFonts w:cs="Calibri"/>
          <w:color w:val="000000" w:themeColor="text1"/>
          <w:sz w:val="20"/>
          <w:szCs w:val="20"/>
        </w:rPr>
        <w:t>erform SCell release at the source cell if exit</w:t>
      </w:r>
    </w:p>
    <w:p w14:paraId="78437381" w14:textId="63558AF0" w:rsidR="003F3AE4" w:rsidRPr="003F3AE4" w:rsidRDefault="006E5199"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P</w:t>
      </w:r>
      <w:r w:rsidR="003F3AE4" w:rsidRPr="003F3AE4">
        <w:rPr>
          <w:rFonts w:cs="Calibri"/>
          <w:color w:val="000000" w:themeColor="text1"/>
          <w:sz w:val="20"/>
          <w:szCs w:val="20"/>
        </w:rPr>
        <w:t xml:space="preserve">erform SCG reconfiguration if configured for the target cell </w:t>
      </w:r>
    </w:p>
    <w:p w14:paraId="4EB32475" w14:textId="56DAF9B4" w:rsidR="003F3AE4" w:rsidRPr="003F3AE4" w:rsidRDefault="006E5199"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D</w:t>
      </w:r>
      <w:r w:rsidR="003F3AE4" w:rsidRPr="003F3AE4">
        <w:rPr>
          <w:rFonts w:cs="Calibri"/>
          <w:color w:val="000000" w:themeColor="text1"/>
          <w:sz w:val="20"/>
          <w:szCs w:val="20"/>
        </w:rPr>
        <w:t xml:space="preserve">erive security Key or update existing ones as needed </w:t>
      </w:r>
    </w:p>
    <w:p w14:paraId="498A7B70" w14:textId="071754C9" w:rsidR="003F3AE4" w:rsidRPr="003F3AE4" w:rsidRDefault="006E5199"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I</w:t>
      </w:r>
      <w:r w:rsidR="003F3AE4" w:rsidRPr="003F3AE4">
        <w:rPr>
          <w:rFonts w:cs="Calibri"/>
          <w:color w:val="000000" w:themeColor="text1"/>
          <w:sz w:val="20"/>
          <w:szCs w:val="20"/>
        </w:rPr>
        <w:t>f EN-DC is configured, EN-DC release to be performed</w:t>
      </w:r>
    </w:p>
    <w:p w14:paraId="60AE56D8" w14:textId="4DD85928" w:rsidR="003F3AE4" w:rsidRPr="003F3AE4" w:rsidRDefault="006E5199"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A</w:t>
      </w:r>
      <w:r w:rsidR="003F3AE4" w:rsidRPr="003F3AE4">
        <w:rPr>
          <w:rFonts w:cs="Calibri"/>
          <w:color w:val="000000" w:themeColor="text1"/>
          <w:sz w:val="20"/>
          <w:szCs w:val="20"/>
        </w:rPr>
        <w:t xml:space="preserve">pply NR RRC Reconfiguration (as a secondary group) if provided </w:t>
      </w:r>
    </w:p>
    <w:p w14:paraId="1B469089" w14:textId="7FA16422" w:rsidR="003F3AE4" w:rsidRPr="003F3AE4" w:rsidRDefault="006E5199"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P</w:t>
      </w:r>
      <w:r w:rsidR="003F3AE4" w:rsidRPr="003F3AE4">
        <w:rPr>
          <w:rFonts w:cs="Calibri"/>
          <w:color w:val="000000" w:themeColor="text1"/>
          <w:sz w:val="20"/>
          <w:szCs w:val="20"/>
        </w:rPr>
        <w:t>erform the measurement related actions</w:t>
      </w:r>
    </w:p>
    <w:p w14:paraId="7D23991B" w14:textId="241A23B8" w:rsidR="003F3AE4" w:rsidRPr="003F3AE4" w:rsidRDefault="006E5199"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P</w:t>
      </w:r>
      <w:r w:rsidR="003F3AE4" w:rsidRPr="003F3AE4">
        <w:rPr>
          <w:rFonts w:cs="Calibri"/>
          <w:color w:val="000000" w:themeColor="text1"/>
          <w:sz w:val="20"/>
          <w:szCs w:val="20"/>
        </w:rPr>
        <w:t>erform the measurement identity autonomous removal as specified in 5.5.2.2a</w:t>
      </w:r>
      <w:r>
        <w:rPr>
          <w:rFonts w:cs="Calibri"/>
          <w:color w:val="000000" w:themeColor="text1"/>
          <w:sz w:val="20"/>
          <w:szCs w:val="20"/>
        </w:rPr>
        <w:t xml:space="preserve"> of [2]</w:t>
      </w:r>
    </w:p>
    <w:p w14:paraId="59B589A2" w14:textId="19D90531" w:rsidR="003F3AE4" w:rsidRPr="003F3AE4" w:rsidRDefault="006E5199"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R</w:t>
      </w:r>
      <w:r w:rsidR="003F3AE4" w:rsidRPr="003F3AE4">
        <w:rPr>
          <w:rFonts w:cs="Calibri"/>
          <w:color w:val="000000" w:themeColor="text1"/>
          <w:sz w:val="20"/>
          <w:szCs w:val="20"/>
        </w:rPr>
        <w:t>elease reportProximityConfig and clear any associated proximity status reporting timer</w:t>
      </w:r>
    </w:p>
    <w:p w14:paraId="246DEA30" w14:textId="29486AC7" w:rsidR="003F3AE4" w:rsidRPr="003F3AE4" w:rsidRDefault="006E5199"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P</w:t>
      </w:r>
      <w:r w:rsidR="003F3AE4" w:rsidRPr="003F3AE4">
        <w:rPr>
          <w:rFonts w:cs="Calibri"/>
          <w:color w:val="000000" w:themeColor="text1"/>
          <w:sz w:val="20"/>
          <w:szCs w:val="20"/>
        </w:rPr>
        <w:t>erform the dedicated WLAN offload configuration procedure</w:t>
      </w:r>
    </w:p>
    <w:p w14:paraId="27BE0137" w14:textId="439F7263" w:rsidR="003F3AE4" w:rsidRPr="003F3AE4" w:rsidRDefault="006E5199"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R</w:t>
      </w:r>
      <w:r w:rsidR="003F3AE4" w:rsidRPr="003F3AE4">
        <w:rPr>
          <w:rFonts w:cs="Calibri"/>
          <w:color w:val="000000" w:themeColor="text1"/>
          <w:sz w:val="20"/>
          <w:szCs w:val="20"/>
        </w:rPr>
        <w:t>elease LWA / LWIP configuration if configured at source cell</w:t>
      </w:r>
    </w:p>
    <w:p w14:paraId="3F416349" w14:textId="6EF33578" w:rsidR="003F3AE4" w:rsidRPr="003F3AE4" w:rsidRDefault="006E5199"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C</w:t>
      </w:r>
      <w:r w:rsidR="003F3AE4" w:rsidRPr="003F3AE4">
        <w:rPr>
          <w:rFonts w:cs="Calibri"/>
          <w:color w:val="000000" w:themeColor="text1"/>
          <w:sz w:val="20"/>
          <w:szCs w:val="20"/>
        </w:rPr>
        <w:t>onfigure LWA / LWIP configuration if provided at target cell</w:t>
      </w:r>
    </w:p>
    <w:p w14:paraId="4A8ACC39" w14:textId="42DB85D7" w:rsidR="003F3AE4" w:rsidRPr="003F3AE4" w:rsidRDefault="006E5199"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P</w:t>
      </w:r>
      <w:r w:rsidR="003F3AE4" w:rsidRPr="003F3AE4">
        <w:rPr>
          <w:rFonts w:cs="Calibri"/>
          <w:color w:val="000000" w:themeColor="text1"/>
          <w:sz w:val="20"/>
          <w:szCs w:val="20"/>
        </w:rPr>
        <w:t>erform the V2X sidelink communication dedicated configuration procedure if provided</w:t>
      </w:r>
    </w:p>
    <w:p w14:paraId="2F4F3B64" w14:textId="77777777" w:rsidR="003F3AE4" w:rsidRPr="003F3AE4" w:rsidRDefault="003F3AE4" w:rsidP="003F3AE4"/>
    <w:p w14:paraId="112EF75F" w14:textId="148AD142" w:rsidR="0043307E" w:rsidRPr="0043307E" w:rsidRDefault="0043307E" w:rsidP="0043307E">
      <w:pPr>
        <w:rPr>
          <w:b/>
          <w:lang w:val="en-US"/>
        </w:rPr>
      </w:pPr>
      <w:r w:rsidRPr="0043307E">
        <w:rPr>
          <w:b/>
        </w:rPr>
        <w:t xml:space="preserve">Observation 1. </w:t>
      </w:r>
      <w:r w:rsidRPr="0043307E">
        <w:rPr>
          <w:b/>
          <w:lang w:val="en-US"/>
        </w:rPr>
        <w:t>Many steps in clause 5.3.5.4 [2] cannot be executed until the first condition specified in the conditional HO command is met since:</w:t>
      </w:r>
    </w:p>
    <w:p w14:paraId="51D49FE6" w14:textId="37855D0C" w:rsidR="0043307E" w:rsidRPr="0043307E" w:rsidRDefault="0043307E" w:rsidP="0043307E">
      <w:pPr>
        <w:pStyle w:val="ListParagraph"/>
        <w:numPr>
          <w:ilvl w:val="0"/>
          <w:numId w:val="23"/>
        </w:numPr>
        <w:rPr>
          <w:b/>
          <w:sz w:val="20"/>
        </w:rPr>
      </w:pPr>
      <w:r w:rsidRPr="0043307E">
        <w:rPr>
          <w:b/>
          <w:sz w:val="20"/>
        </w:rPr>
        <w:t xml:space="preserve">only in that instance of time the identity of the target cell is known </w:t>
      </w:r>
    </w:p>
    <w:p w14:paraId="650710B8" w14:textId="3D76036D" w:rsidR="0043307E" w:rsidRPr="0043307E" w:rsidRDefault="0043307E" w:rsidP="0043307E">
      <w:pPr>
        <w:pStyle w:val="ListParagraph"/>
        <w:numPr>
          <w:ilvl w:val="0"/>
          <w:numId w:val="23"/>
        </w:numPr>
        <w:rPr>
          <w:b/>
          <w:sz w:val="20"/>
        </w:rPr>
      </w:pPr>
      <w:r w:rsidRPr="0043307E">
        <w:rPr>
          <w:b/>
          <w:sz w:val="20"/>
        </w:rPr>
        <w:t>UE can prematurely declare RLF if some of the steps are executed as it is possible that the conditions configured in CHO command</w:t>
      </w:r>
      <w:r w:rsidR="00736C87">
        <w:rPr>
          <w:b/>
          <w:sz w:val="20"/>
        </w:rPr>
        <w:t xml:space="preserve"> are</w:t>
      </w:r>
      <w:r w:rsidRPr="0043307E">
        <w:rPr>
          <w:b/>
          <w:sz w:val="20"/>
        </w:rPr>
        <w:t xml:space="preserve"> never met</w:t>
      </w:r>
    </w:p>
    <w:p w14:paraId="0E0CF714" w14:textId="2C8A9FE1" w:rsidR="00F14A6D" w:rsidRDefault="00F14A6D" w:rsidP="0043307E"/>
    <w:p w14:paraId="5D24387A" w14:textId="246010E8" w:rsidR="0043307E" w:rsidRDefault="0043307E" w:rsidP="0043307E">
      <w:pPr>
        <w:rPr>
          <w:b/>
        </w:rPr>
      </w:pPr>
      <w:r w:rsidRPr="0043307E">
        <w:rPr>
          <w:b/>
        </w:rPr>
        <w:t>Proposal 2. RRC processing delay to be broken into two segments; one to begin from the end of the last TTI of RRC command as in legacy HO</w:t>
      </w:r>
      <w:r w:rsidR="00142D1F">
        <w:rPr>
          <w:b/>
        </w:rPr>
        <w:t xml:space="preserve"> (D</w:t>
      </w:r>
      <w:r w:rsidR="00142D1F" w:rsidRPr="00C6717E">
        <w:rPr>
          <w:b/>
          <w:vertAlign w:val="subscript"/>
        </w:rPr>
        <w:t>RRC,1</w:t>
      </w:r>
      <w:r w:rsidR="00142D1F">
        <w:rPr>
          <w:b/>
        </w:rPr>
        <w:t>)</w:t>
      </w:r>
      <w:r w:rsidR="00142D1F" w:rsidRPr="0043307E">
        <w:rPr>
          <w:b/>
        </w:rPr>
        <w:t xml:space="preserve"> </w:t>
      </w:r>
      <w:r w:rsidRPr="0043307E">
        <w:rPr>
          <w:b/>
        </w:rPr>
        <w:t xml:space="preserve">and </w:t>
      </w:r>
      <w:r w:rsidR="00D76B46">
        <w:rPr>
          <w:b/>
        </w:rPr>
        <w:t>another</w:t>
      </w:r>
      <w:r w:rsidRPr="0043307E">
        <w:rPr>
          <w:b/>
        </w:rPr>
        <w:t xml:space="preserve"> to begin from the time UE assesses the condition specified in CHO command </w:t>
      </w:r>
      <w:r w:rsidR="005E11F2">
        <w:rPr>
          <w:b/>
        </w:rPr>
        <w:t>is</w:t>
      </w:r>
      <w:r w:rsidRPr="0043307E">
        <w:rPr>
          <w:b/>
        </w:rPr>
        <w:t xml:space="preserve"> satisfied</w:t>
      </w:r>
      <w:r w:rsidR="007A0BF5">
        <w:rPr>
          <w:b/>
        </w:rPr>
        <w:t xml:space="preserve"> (D</w:t>
      </w:r>
      <w:r w:rsidR="007A0BF5" w:rsidRPr="00F2014F">
        <w:rPr>
          <w:b/>
          <w:vertAlign w:val="subscript"/>
        </w:rPr>
        <w:t>RRC,</w:t>
      </w:r>
      <w:r w:rsidR="007A0BF5">
        <w:rPr>
          <w:b/>
          <w:vertAlign w:val="subscript"/>
        </w:rPr>
        <w:t>2</w:t>
      </w:r>
      <w:r w:rsidR="007A0BF5">
        <w:rPr>
          <w:b/>
        </w:rPr>
        <w:t>)</w:t>
      </w:r>
      <w:r w:rsidRPr="0043307E">
        <w:rPr>
          <w:b/>
        </w:rPr>
        <w:t xml:space="preserve">. Length of each segment is FFS. </w:t>
      </w:r>
    </w:p>
    <w:p w14:paraId="7DC2FED7" w14:textId="0C039263" w:rsidR="002C0B1F" w:rsidRDefault="0070280B" w:rsidP="0043307E">
      <w:pPr>
        <w:rPr>
          <w:lang w:val="en-US"/>
        </w:rPr>
      </w:pPr>
      <w:r>
        <w:lastRenderedPageBreak/>
        <w:t xml:space="preserve">Another subject to discuss in CHO is the reference point which handover delay </w:t>
      </w:r>
      <m:oMath>
        <m:sSub>
          <m:sSubPr>
            <m:ctrlPr>
              <w:rPr>
                <w:rFonts w:ascii="Cambria Math" w:hAnsi="Cambria Math"/>
                <w:i/>
                <w:lang w:val="en-US"/>
              </w:rPr>
            </m:ctrlPr>
          </m:sSubPr>
          <m:e>
            <m:r>
              <m:rPr>
                <m:nor/>
              </m:rPr>
              <w:rPr>
                <w:rFonts w:ascii="Cambria Math" w:hAnsi="Cambria Math"/>
                <w:lang w:val="en-US"/>
              </w:rPr>
              <m:t>D</m:t>
            </m:r>
          </m:e>
          <m:sub>
            <m:r>
              <m:rPr>
                <m:nor/>
              </m:rPr>
              <w:rPr>
                <w:rFonts w:ascii="Cambria Math" w:hAnsi="Cambria Math"/>
                <w:lang w:val="en-US"/>
              </w:rPr>
              <m:t>handover</m:t>
            </m:r>
          </m:sub>
        </m:sSub>
      </m:oMath>
      <w:r>
        <w:rPr>
          <w:lang w:val="en-US"/>
        </w:rPr>
        <w:t xml:space="preserve"> should be defined. In [1], it was proposed to use the same reference point (i.e., the end of the last TTI containing the RRC command) as the start timestamp and then define the delay as </w:t>
      </w:r>
    </w:p>
    <w:p w14:paraId="00139AF0" w14:textId="4CFEF4B4" w:rsidR="0070280B" w:rsidRPr="0070280B" w:rsidRDefault="0030744A" w:rsidP="0043307E">
      <w:pPr>
        <w:rPr>
          <w:lang w:val="en-US"/>
        </w:rPr>
      </w:pPr>
      <m:oMathPara>
        <m:oMath>
          <m:sSub>
            <m:sSubPr>
              <m:ctrlPr>
                <w:rPr>
                  <w:rFonts w:ascii="Cambria Math" w:hAnsi="Cambria Math"/>
                  <w:i/>
                  <w:lang w:val="en-US"/>
                </w:rPr>
              </m:ctrlPr>
            </m:sSubPr>
            <m:e>
              <m:r>
                <m:rPr>
                  <m:nor/>
                </m:rPr>
                <w:rPr>
                  <w:rFonts w:ascii="Cambria Math" w:hAnsi="Cambria Math"/>
                  <w:lang w:val="en-US"/>
                </w:rPr>
                <m:t>D</m:t>
              </m:r>
            </m:e>
            <m:sub>
              <m:r>
                <m:rPr>
                  <m:nor/>
                </m:rPr>
                <w:rPr>
                  <w:rFonts w:ascii="Cambria Math" w:hAnsi="Cambria Math"/>
                  <w:lang w:val="en-US"/>
                </w:rPr>
                <m:t>handover</m:t>
              </m:r>
            </m:sub>
          </m:sSub>
          <m:r>
            <w:rPr>
              <w:rFonts w:ascii="Cambria Math" w:hAnsi="Cambria Math"/>
              <w:lang w:val="en-US"/>
            </w:rPr>
            <m:t xml:space="preserve">=  </m:t>
          </m:r>
          <m:sSub>
            <m:sSubPr>
              <m:ctrlPr>
                <w:rPr>
                  <w:rFonts w:ascii="Cambria Math" w:hAnsi="Cambria Math"/>
                  <w:i/>
                  <w:lang w:val="en-US"/>
                </w:rPr>
              </m:ctrlPr>
            </m:sSubPr>
            <m:e>
              <m:r>
                <m:rPr>
                  <m:nor/>
                </m:rPr>
                <w:rPr>
                  <w:rFonts w:ascii="Cambria Math" w:hAnsi="Cambria Math"/>
                  <w:lang w:val="en-US"/>
                </w:rPr>
                <m:t>D</m:t>
              </m:r>
            </m:e>
            <m:sub>
              <m:r>
                <m:rPr>
                  <m:nor/>
                </m:rPr>
                <w:rPr>
                  <w:rFonts w:ascii="Cambria Math" w:hAnsi="Cambria Math"/>
                  <w:lang w:val="en-US"/>
                </w:rPr>
                <m:t>RRC</m:t>
              </m:r>
            </m:sub>
          </m:sSub>
          <m:r>
            <w:rPr>
              <w:rFonts w:ascii="Cambria Math" w:hAnsi="Cambria Math"/>
              <w:lang w:val="en-US"/>
            </w:rPr>
            <m:t>+</m:t>
          </m:r>
          <m:sSub>
            <m:sSubPr>
              <m:ctrlPr>
                <w:rPr>
                  <w:rFonts w:ascii="Cambria Math" w:hAnsi="Cambria Math"/>
                  <w:i/>
                  <w:lang w:val="en-US"/>
                </w:rPr>
              </m:ctrlPr>
            </m:sSubPr>
            <m:e>
              <m:sSub>
                <m:sSubPr>
                  <m:ctrlPr>
                    <w:rPr>
                      <w:rFonts w:ascii="Cambria Math" w:hAnsi="Cambria Math"/>
                      <w:i/>
                      <w:lang w:val="en-US"/>
                    </w:rPr>
                  </m:ctrlPr>
                </m:sSubPr>
                <m:e>
                  <m:r>
                    <m:rPr>
                      <m:nor/>
                    </m:rPr>
                    <w:rPr>
                      <w:rFonts w:ascii="Cambria Math" w:hAnsi="Cambria Math"/>
                      <w:lang w:val="en-US"/>
                    </w:rPr>
                    <m:t>T</m:t>
                  </m:r>
                </m:e>
                <m:sub>
                  <m:r>
                    <m:rPr>
                      <m:nor/>
                    </m:rPr>
                    <w:rPr>
                      <w:rFonts w:ascii="Cambria Math" w:hAnsi="Cambria Math"/>
                      <w:lang w:val="en-US"/>
                    </w:rPr>
                    <m:t>uncertainty</m:t>
                  </m:r>
                </m:sub>
              </m:sSub>
              <m:r>
                <m:rPr>
                  <m:nor/>
                </m:rPr>
                <w:rPr>
                  <w:rFonts w:ascii="Cambria Math" w:hAnsi="Cambria Math"/>
                  <w:lang w:val="en-US"/>
                </w:rPr>
                <m:t xml:space="preserve"> + T</m:t>
              </m:r>
            </m:e>
            <m:sub>
              <m:r>
                <m:rPr>
                  <m:nor/>
                </m:rPr>
                <w:rPr>
                  <w:rFonts w:ascii="Cambria Math" w:hAnsi="Cambria Math"/>
                  <w:lang w:val="en-US"/>
                </w:rPr>
                <m:t>interrupt</m:t>
              </m:r>
            </m:sub>
          </m:sSub>
        </m:oMath>
      </m:oMathPara>
    </w:p>
    <w:p w14:paraId="6BFE6984" w14:textId="5F8A95F7" w:rsidR="0070280B" w:rsidRDefault="0070280B" w:rsidP="0043307E">
      <w:pPr>
        <w:rPr>
          <w:lang w:val="en-US"/>
        </w:rPr>
      </w:pPr>
      <w:r>
        <w:rPr>
          <w:lang w:val="en-US"/>
        </w:rPr>
        <w:t xml:space="preserve">where </w:t>
      </w:r>
      <m:oMath>
        <m:sSub>
          <m:sSubPr>
            <m:ctrlPr>
              <w:rPr>
                <w:rFonts w:ascii="Cambria Math" w:hAnsi="Cambria Math"/>
                <w:i/>
                <w:lang w:val="en-US"/>
              </w:rPr>
            </m:ctrlPr>
          </m:sSubPr>
          <m:e>
            <m:r>
              <m:rPr>
                <m:nor/>
              </m:rPr>
              <w:rPr>
                <w:rFonts w:ascii="Cambria Math" w:hAnsi="Cambria Math"/>
                <w:lang w:val="en-US"/>
              </w:rPr>
              <m:t>T</m:t>
            </m:r>
          </m:e>
          <m:sub>
            <m:r>
              <m:rPr>
                <m:nor/>
              </m:rPr>
              <w:rPr>
                <w:rFonts w:ascii="Cambria Math" w:hAnsi="Cambria Math"/>
                <w:lang w:val="en-US"/>
              </w:rPr>
              <m:t>uncertainty</m:t>
            </m:r>
          </m:sub>
        </m:sSub>
      </m:oMath>
      <w:r>
        <w:rPr>
          <w:lang w:val="en-US"/>
        </w:rPr>
        <w:t xml:space="preserve"> is the time from receipt of HO command to when UE starts execution of HO. While this proposal has the advantage of </w:t>
      </w:r>
      <w:r w:rsidR="008A1228">
        <w:rPr>
          <w:lang w:val="en-US"/>
        </w:rPr>
        <w:t xml:space="preserve">having </w:t>
      </w:r>
      <w:r>
        <w:rPr>
          <w:lang w:val="en-US"/>
        </w:rPr>
        <w:t xml:space="preserve">an explicit reference starting point, </w:t>
      </w:r>
      <w:r w:rsidR="008A1228">
        <w:rPr>
          <w:lang w:val="en-US"/>
        </w:rPr>
        <w:t xml:space="preserve">it is not possible to define a maximum possible value for </w:t>
      </w:r>
      <m:oMath>
        <m:sSub>
          <m:sSubPr>
            <m:ctrlPr>
              <w:rPr>
                <w:rFonts w:ascii="Cambria Math" w:hAnsi="Cambria Math"/>
                <w:i/>
                <w:lang w:val="en-US"/>
              </w:rPr>
            </m:ctrlPr>
          </m:sSubPr>
          <m:e>
            <m:r>
              <m:rPr>
                <m:nor/>
              </m:rPr>
              <w:rPr>
                <w:rFonts w:ascii="Cambria Math" w:hAnsi="Cambria Math"/>
                <w:lang w:val="en-US"/>
              </w:rPr>
              <m:t>T</m:t>
            </m:r>
          </m:e>
          <m:sub>
            <m:r>
              <m:rPr>
                <m:nor/>
              </m:rPr>
              <w:rPr>
                <w:rFonts w:ascii="Cambria Math" w:hAnsi="Cambria Math"/>
                <w:lang w:val="en-US"/>
              </w:rPr>
              <m:t>uncertainty</m:t>
            </m:r>
          </m:sub>
        </m:sSub>
      </m:oMath>
      <w:r w:rsidR="008A1228">
        <w:rPr>
          <w:lang w:val="en-US"/>
        </w:rPr>
        <w:t xml:space="preserve"> in real-life as it depends on the channel conditions of the source cell and target cells. For instance, it is also possible for conditional HO to never be executed and UE falls back to source cell. </w:t>
      </w:r>
    </w:p>
    <w:p w14:paraId="62A81D23" w14:textId="7F8C2AA8" w:rsidR="00C34898" w:rsidRPr="00C34898" w:rsidRDefault="00C34898" w:rsidP="0043307E">
      <w:pPr>
        <w:rPr>
          <w:b/>
          <w:lang w:val="en-US"/>
        </w:rPr>
      </w:pPr>
      <w:r w:rsidRPr="00C34898">
        <w:rPr>
          <w:b/>
          <w:lang w:val="en-US"/>
        </w:rPr>
        <w:t xml:space="preserve">Observation 2. </w:t>
      </w:r>
      <w:r>
        <w:rPr>
          <w:b/>
          <w:lang w:val="en-US"/>
        </w:rPr>
        <w:t>For defining handover delay, u</w:t>
      </w:r>
      <w:r w:rsidRPr="00C34898">
        <w:rPr>
          <w:b/>
          <w:lang w:val="en-US"/>
        </w:rPr>
        <w:t xml:space="preserve">sing the same reference start point as legacy HO (i.e., last TTI of RRC command) prevents </w:t>
      </w:r>
      <w:r>
        <w:rPr>
          <w:b/>
          <w:lang w:val="en-US"/>
        </w:rPr>
        <w:t>capping</w:t>
      </w:r>
      <w:r w:rsidRPr="00C34898">
        <w:rPr>
          <w:b/>
          <w:lang w:val="en-US"/>
        </w:rPr>
        <w:t xml:space="preserve"> handover delay </w:t>
      </w:r>
      <w:r>
        <w:rPr>
          <w:b/>
          <w:lang w:val="en-US"/>
        </w:rPr>
        <w:t xml:space="preserve">with a maximum value </w:t>
      </w:r>
      <w:r w:rsidRPr="00C34898">
        <w:rPr>
          <w:b/>
          <w:lang w:val="en-US"/>
        </w:rPr>
        <w:t>as the uncertainty related to the delay in which UE begins CHO execution depends on the channel conditions of the source cell and target cells.</w:t>
      </w:r>
    </w:p>
    <w:p w14:paraId="22A64C0C" w14:textId="2D1AA3F0" w:rsidR="008A1228" w:rsidRDefault="008A1228" w:rsidP="0043307E">
      <w:pPr>
        <w:rPr>
          <w:lang w:val="en-US"/>
        </w:rPr>
      </w:pPr>
      <w:r>
        <w:rPr>
          <w:lang w:val="en-US"/>
        </w:rPr>
        <w:t xml:space="preserve">In our view, the reference start point which should be used for defining the CHO delay is the TTI in which UE determines conditions are met and HO execution begins. This eliminates the need for the term </w:t>
      </w:r>
      <m:oMath>
        <m:sSub>
          <m:sSubPr>
            <m:ctrlPr>
              <w:rPr>
                <w:rFonts w:ascii="Cambria Math" w:hAnsi="Cambria Math"/>
                <w:i/>
                <w:lang w:val="en-US"/>
              </w:rPr>
            </m:ctrlPr>
          </m:sSubPr>
          <m:e>
            <m:r>
              <m:rPr>
                <m:nor/>
              </m:rPr>
              <w:rPr>
                <w:rFonts w:ascii="Cambria Math" w:hAnsi="Cambria Math"/>
                <w:lang w:val="en-US"/>
              </w:rPr>
              <m:t>T</m:t>
            </m:r>
          </m:e>
          <m:sub>
            <m:r>
              <m:rPr>
                <m:nor/>
              </m:rPr>
              <w:rPr>
                <w:rFonts w:ascii="Cambria Math" w:hAnsi="Cambria Math"/>
                <w:lang w:val="en-US"/>
              </w:rPr>
              <m:t>uncertainty</m:t>
            </m:r>
          </m:sub>
        </m:sSub>
      </m:oMath>
      <w:r>
        <w:rPr>
          <w:lang w:val="en-US"/>
        </w:rPr>
        <w:t xml:space="preserve"> in the above and can be designed to be a deterministic point in performance tests. </w:t>
      </w:r>
      <w:r w:rsidR="00236517">
        <w:rPr>
          <w:lang w:val="en-US"/>
        </w:rPr>
        <w:t>In Figure 2, UE assesses the condition for HO is met after some delay related to its processing. Next, remaining steps of RRC processing is executed after which UE releases the source cell and goes through an interruption interval until it connects with the target cell.</w:t>
      </w:r>
    </w:p>
    <w:p w14:paraId="1181B29C" w14:textId="0336CC8E" w:rsidR="008A1228" w:rsidRPr="005E395A" w:rsidRDefault="008A1228" w:rsidP="0043307E">
      <w:pPr>
        <w:rPr>
          <w:b/>
          <w:lang w:val="en-US"/>
        </w:rPr>
      </w:pPr>
      <w:r w:rsidRPr="005E395A">
        <w:rPr>
          <w:b/>
          <w:lang w:val="en-US"/>
        </w:rPr>
        <w:t>Proposal 3. The reference start point which should be used for defining the CHO delay is the TTI in which UE determines conditions are met and HO execution begins.</w:t>
      </w:r>
    </w:p>
    <w:p w14:paraId="685214E3" w14:textId="263FBA29" w:rsidR="008A1228" w:rsidRDefault="008A1228" w:rsidP="0043307E">
      <w:pPr>
        <w:rPr>
          <w:lang w:val="en-US"/>
        </w:rPr>
      </w:pPr>
      <w:r>
        <w:rPr>
          <w:lang w:val="en-US"/>
        </w:rPr>
        <w:t xml:space="preserve">With this definition, handover delay in CHO can be defined as </w:t>
      </w:r>
    </w:p>
    <w:p w14:paraId="1089026C" w14:textId="4A63144D" w:rsidR="008A1228" w:rsidRPr="008A1228" w:rsidRDefault="0030744A" w:rsidP="0043307E">
      <w:pPr>
        <w:rPr>
          <w:lang w:val="en-US"/>
        </w:rPr>
      </w:pPr>
      <m:oMathPara>
        <m:oMath>
          <m:sSub>
            <m:sSubPr>
              <m:ctrlPr>
                <w:rPr>
                  <w:rFonts w:ascii="Cambria Math" w:hAnsi="Cambria Math"/>
                  <w:i/>
                  <w:lang w:val="en-US"/>
                </w:rPr>
              </m:ctrlPr>
            </m:sSubPr>
            <m:e>
              <m:r>
                <m:rPr>
                  <m:nor/>
                </m:rPr>
                <w:rPr>
                  <w:rFonts w:ascii="Cambria Math" w:hAnsi="Cambria Math"/>
                  <w:lang w:val="en-US"/>
                </w:rPr>
                <m:t>D</m:t>
              </m:r>
            </m:e>
            <m:sub>
              <m:r>
                <m:rPr>
                  <m:nor/>
                </m:rPr>
                <w:rPr>
                  <w:rFonts w:ascii="Cambria Math" w:hAnsi="Cambria Math"/>
                  <w:lang w:val="en-US"/>
                </w:rPr>
                <m:t>handover</m:t>
              </m:r>
            </m:sub>
          </m:sSub>
          <m:r>
            <w:rPr>
              <w:rFonts w:ascii="Cambria Math" w:hAnsi="Cambria Math"/>
              <w:lang w:val="en-US"/>
            </w:rPr>
            <m:t xml:space="preserve">=  </m:t>
          </m:r>
          <m:sSub>
            <m:sSubPr>
              <m:ctrlPr>
                <w:rPr>
                  <w:rFonts w:ascii="Cambria Math" w:hAnsi="Cambria Math"/>
                  <w:i/>
                  <w:lang w:val="en-US"/>
                </w:rPr>
              </m:ctrlPr>
            </m:sSubPr>
            <m:e>
              <m:r>
                <m:rPr>
                  <m:nor/>
                </m:rPr>
                <w:rPr>
                  <w:rFonts w:ascii="Cambria Math" w:hAnsi="Cambria Math"/>
                  <w:lang w:val="en-US"/>
                </w:rPr>
                <m:t>D</m:t>
              </m:r>
            </m:e>
            <m:sub>
              <m:r>
                <m:rPr>
                  <m:nor/>
                </m:rPr>
                <w:rPr>
                  <w:rFonts w:ascii="Cambria Math" w:hAnsi="Cambria Math"/>
                  <w:lang w:val="en-US"/>
                </w:rPr>
                <m:t>RRC,2</m:t>
              </m:r>
            </m:sub>
          </m:sSub>
          <m:r>
            <w:rPr>
              <w:rFonts w:ascii="Cambria Math" w:hAnsi="Cambria Math"/>
              <w:lang w:val="en-US"/>
            </w:rPr>
            <m:t>+</m:t>
          </m:r>
          <m:sSub>
            <m:sSubPr>
              <m:ctrlPr>
                <w:rPr>
                  <w:rFonts w:ascii="Cambria Math" w:hAnsi="Cambria Math"/>
                  <w:i/>
                  <w:lang w:val="en-US"/>
                </w:rPr>
              </m:ctrlPr>
            </m:sSubPr>
            <m:e>
              <m:r>
                <m:rPr>
                  <m:nor/>
                </m:rPr>
                <w:rPr>
                  <w:rFonts w:ascii="Cambria Math" w:hAnsi="Cambria Math"/>
                  <w:lang w:val="en-US"/>
                </w:rPr>
                <m:t>T</m:t>
              </m:r>
            </m:e>
            <m:sub>
              <m:r>
                <m:rPr>
                  <m:nor/>
                </m:rPr>
                <w:rPr>
                  <w:rFonts w:ascii="Cambria Math" w:hAnsi="Cambria Math"/>
                  <w:lang w:val="en-US"/>
                </w:rPr>
                <m:t>interrupt</m:t>
              </m:r>
            </m:sub>
          </m:sSub>
        </m:oMath>
      </m:oMathPara>
    </w:p>
    <w:p w14:paraId="0B357F69" w14:textId="657AE9EB" w:rsidR="008A1228" w:rsidRPr="00ED7E0C" w:rsidRDefault="0030744A" w:rsidP="008A1228">
      <w:pPr>
        <w:rPr>
          <w:lang w:val="en-US"/>
        </w:rPr>
      </w:pPr>
      <m:oMathPara>
        <m:oMath>
          <m:sSub>
            <m:sSubPr>
              <m:ctrlPr>
                <w:rPr>
                  <w:rFonts w:ascii="Cambria Math" w:hAnsi="Cambria Math"/>
                  <w:i/>
                  <w:lang w:val="en-US"/>
                </w:rPr>
              </m:ctrlPr>
            </m:sSubPr>
            <m:e>
              <m:r>
                <m:rPr>
                  <m:nor/>
                </m:rPr>
                <w:rPr>
                  <w:rFonts w:ascii="Cambria Math" w:hAnsi="Cambria Math"/>
                  <w:lang w:val="en-US"/>
                </w:rPr>
                <m:t>T</m:t>
              </m:r>
            </m:e>
            <m:sub>
              <m:r>
                <m:rPr>
                  <m:nor/>
                </m:rPr>
                <w:rPr>
                  <w:rFonts w:ascii="Cambria Math" w:hAnsi="Cambria Math"/>
                  <w:lang w:val="en-US"/>
                </w:rPr>
                <m:t>interrupt</m:t>
              </m:r>
            </m:sub>
          </m:sSub>
          <m:r>
            <m:rPr>
              <m:nor/>
            </m:rPr>
            <w:rPr>
              <w:rFonts w:ascii="Cambria Math" w:hAnsi="Cambria Math"/>
              <w:lang w:val="en-US"/>
            </w:rPr>
            <m:t>=</m:t>
          </m:r>
          <m:sSub>
            <m:sSubPr>
              <m:ctrlPr>
                <w:rPr>
                  <w:rFonts w:ascii="Cambria Math" w:hAnsi="Cambria Math"/>
                  <w:i/>
                  <w:lang w:val="en-US"/>
                </w:rPr>
              </m:ctrlPr>
            </m:sSubPr>
            <m:e>
              <m:r>
                <m:rPr>
                  <m:nor/>
                </m:rPr>
                <w:rPr>
                  <w:rFonts w:ascii="Cambria Math" w:hAnsi="Cambria Math"/>
                  <w:lang w:val="en-US"/>
                </w:rPr>
                <m:t>T</m:t>
              </m:r>
            </m:e>
            <m:sub>
              <m:r>
                <m:rPr>
                  <m:nor/>
                </m:rPr>
                <w:rPr>
                  <w:rFonts w:ascii="Cambria Math" w:hAnsi="Cambria Math"/>
                  <w:lang w:val="en-US"/>
                </w:rPr>
                <m:t xml:space="preserve">UE_processing </m:t>
              </m:r>
            </m:sub>
          </m:sSub>
          <m:r>
            <m:rPr>
              <m:nor/>
            </m:rPr>
            <w:rPr>
              <w:rFonts w:ascii="Cambria Math" w:hAnsi="Cambria Math"/>
              <w:lang w:val="en-US"/>
            </w:rPr>
            <m:t>+</m:t>
          </m:r>
          <m:sSub>
            <m:sSubPr>
              <m:ctrlPr>
                <w:rPr>
                  <w:rFonts w:ascii="Cambria Math" w:hAnsi="Cambria Math"/>
                  <w:i/>
                  <w:lang w:val="en-US"/>
                </w:rPr>
              </m:ctrlPr>
            </m:sSubPr>
            <m:e>
              <m:r>
                <m:rPr>
                  <m:nor/>
                </m:rPr>
                <w:rPr>
                  <w:rFonts w:ascii="Cambria Math" w:hAnsi="Cambria Math"/>
                  <w:lang w:val="en-US"/>
                </w:rPr>
                <m:t>T</m:t>
              </m:r>
            </m:e>
            <m:sub>
              <m:r>
                <m:rPr>
                  <m:nor/>
                </m:rPr>
                <w:rPr>
                  <w:rFonts w:ascii="Cambria Math" w:hAnsi="Cambria Math"/>
                  <w:lang w:val="en-US"/>
                </w:rPr>
                <m:t>IU</m:t>
              </m:r>
            </m:sub>
          </m:sSub>
        </m:oMath>
      </m:oMathPara>
    </w:p>
    <w:p w14:paraId="560EA38A" w14:textId="532CEB58" w:rsidR="008A1228" w:rsidRDefault="008A1228" w:rsidP="0043307E">
      <w:pPr>
        <w:rPr>
          <w:lang w:val="en-US"/>
        </w:rPr>
      </w:pPr>
      <w:r>
        <w:rPr>
          <w:lang w:val="en-US"/>
        </w:rPr>
        <w:t xml:space="preserve">Where </w:t>
      </w:r>
      <m:oMath>
        <m:sSub>
          <m:sSubPr>
            <m:ctrlPr>
              <w:rPr>
                <w:rFonts w:ascii="Cambria Math" w:hAnsi="Cambria Math"/>
                <w:i/>
                <w:lang w:val="en-US"/>
              </w:rPr>
            </m:ctrlPr>
          </m:sSubPr>
          <m:e>
            <m:r>
              <m:rPr>
                <m:nor/>
              </m:rPr>
              <w:rPr>
                <w:rFonts w:ascii="Cambria Math" w:hAnsi="Cambria Math"/>
                <w:lang w:val="en-US"/>
              </w:rPr>
              <m:t>D</m:t>
            </m:r>
          </m:e>
          <m:sub>
            <m:r>
              <m:rPr>
                <m:nor/>
              </m:rPr>
              <w:rPr>
                <w:rFonts w:ascii="Cambria Math" w:hAnsi="Cambria Math"/>
                <w:lang w:val="en-US"/>
              </w:rPr>
              <m:t>RRC,2</m:t>
            </m:r>
          </m:sub>
        </m:sSub>
      </m:oMath>
      <w:r>
        <w:rPr>
          <w:lang w:val="en-US"/>
        </w:rPr>
        <w:t xml:space="preserve"> corresponds to the second part of RRC processing as discussed above and </w:t>
      </w:r>
      <m:oMath>
        <m:sSub>
          <m:sSubPr>
            <m:ctrlPr>
              <w:rPr>
                <w:rFonts w:ascii="Cambria Math" w:hAnsi="Cambria Math"/>
                <w:i/>
                <w:lang w:val="en-US"/>
              </w:rPr>
            </m:ctrlPr>
          </m:sSubPr>
          <m:e>
            <m:r>
              <m:rPr>
                <m:nor/>
              </m:rPr>
              <w:rPr>
                <w:rFonts w:ascii="Cambria Math" w:hAnsi="Cambria Math"/>
                <w:lang w:val="en-US"/>
              </w:rPr>
              <m:t>T</m:t>
            </m:r>
          </m:e>
          <m:sub>
            <m:r>
              <m:rPr>
                <m:nor/>
              </m:rPr>
              <w:rPr>
                <w:rFonts w:ascii="Cambria Math" w:hAnsi="Cambria Math"/>
                <w:lang w:val="en-US"/>
              </w:rPr>
              <m:t xml:space="preserve">UE_processing </m:t>
            </m:r>
          </m:sub>
        </m:sSub>
      </m:oMath>
      <w:r w:rsidR="005E395A">
        <w:rPr>
          <w:lang w:val="en-US"/>
        </w:rPr>
        <w:t xml:space="preserve">is UE processing delay. The values of </w:t>
      </w:r>
      <m:oMath>
        <m:sSub>
          <m:sSubPr>
            <m:ctrlPr>
              <w:rPr>
                <w:rFonts w:ascii="Cambria Math" w:hAnsi="Cambria Math"/>
                <w:i/>
                <w:lang w:val="en-US"/>
              </w:rPr>
            </m:ctrlPr>
          </m:sSubPr>
          <m:e>
            <m:r>
              <m:rPr>
                <m:nor/>
              </m:rPr>
              <w:rPr>
                <w:rFonts w:ascii="Cambria Math" w:hAnsi="Cambria Math"/>
                <w:lang w:val="en-US"/>
              </w:rPr>
              <m:t>D</m:t>
            </m:r>
          </m:e>
          <m:sub>
            <m:r>
              <m:rPr>
                <m:nor/>
              </m:rPr>
              <w:rPr>
                <w:rFonts w:ascii="Cambria Math" w:hAnsi="Cambria Math"/>
                <w:lang w:val="en-US"/>
              </w:rPr>
              <m:t>RRC,2</m:t>
            </m:r>
          </m:sub>
        </m:sSub>
      </m:oMath>
      <w:r w:rsidR="005E395A">
        <w:rPr>
          <w:lang w:val="en-US"/>
        </w:rPr>
        <w:t xml:space="preserve"> and </w:t>
      </w:r>
      <m:oMath>
        <m:sSub>
          <m:sSubPr>
            <m:ctrlPr>
              <w:rPr>
                <w:rFonts w:ascii="Cambria Math" w:hAnsi="Cambria Math"/>
                <w:i/>
                <w:lang w:val="en-US"/>
              </w:rPr>
            </m:ctrlPr>
          </m:sSubPr>
          <m:e>
            <m:r>
              <m:rPr>
                <m:nor/>
              </m:rPr>
              <w:rPr>
                <w:rFonts w:ascii="Cambria Math" w:hAnsi="Cambria Math"/>
                <w:lang w:val="en-US"/>
              </w:rPr>
              <m:t>T</m:t>
            </m:r>
          </m:e>
          <m:sub>
            <m:r>
              <m:rPr>
                <m:nor/>
              </m:rPr>
              <w:rPr>
                <w:rFonts w:ascii="Cambria Math" w:hAnsi="Cambria Math"/>
                <w:lang w:val="en-US"/>
              </w:rPr>
              <m:t xml:space="preserve">UE_processing </m:t>
            </m:r>
          </m:sub>
        </m:sSub>
      </m:oMath>
      <w:r w:rsidR="005E395A">
        <w:rPr>
          <w:lang w:val="en-US"/>
        </w:rPr>
        <w:t>are FFS and subject to further RAN4 study.</w:t>
      </w:r>
    </w:p>
    <w:p w14:paraId="4D3CECD4" w14:textId="182842E9" w:rsidR="005E395A" w:rsidRPr="005E395A" w:rsidRDefault="005E395A" w:rsidP="005E395A">
      <w:pPr>
        <w:rPr>
          <w:b/>
          <w:lang w:val="en-US"/>
        </w:rPr>
      </w:pPr>
      <w:r w:rsidRPr="005E395A">
        <w:rPr>
          <w:b/>
          <w:lang w:val="en-US"/>
        </w:rPr>
        <w:t xml:space="preserve">Proposal 4. Handover delay in CHO to be defined as </w:t>
      </w:r>
    </w:p>
    <w:p w14:paraId="355660C6" w14:textId="19B2C366" w:rsidR="005E395A" w:rsidRPr="005E395A" w:rsidRDefault="0030744A" w:rsidP="005E395A">
      <w:pPr>
        <w:rPr>
          <w:b/>
          <w:lang w:val="en-US"/>
        </w:rPr>
      </w:pPr>
      <m:oMathPara>
        <m:oMath>
          <m:sSub>
            <m:sSubPr>
              <m:ctrlPr>
                <w:rPr>
                  <w:rFonts w:ascii="Cambria Math" w:hAnsi="Cambria Math"/>
                  <w:b/>
                  <w:i/>
                  <w:lang w:val="en-US"/>
                </w:rPr>
              </m:ctrlPr>
            </m:sSubPr>
            <m:e>
              <m:r>
                <m:rPr>
                  <m:nor/>
                </m:rPr>
                <w:rPr>
                  <w:rFonts w:ascii="Cambria Math" w:hAnsi="Cambria Math"/>
                  <w:b/>
                  <w:lang w:val="en-US"/>
                </w:rPr>
                <m:t>D</m:t>
              </m:r>
            </m:e>
            <m:sub>
              <m:r>
                <m:rPr>
                  <m:nor/>
                </m:rPr>
                <w:rPr>
                  <w:rFonts w:ascii="Cambria Math" w:hAnsi="Cambria Math"/>
                  <w:b/>
                  <w:lang w:val="en-US"/>
                </w:rPr>
                <m:t>handover</m:t>
              </m:r>
            </m:sub>
          </m:sSub>
          <m:r>
            <m:rPr>
              <m:sty m:val="bi"/>
            </m:rPr>
            <w:rPr>
              <w:rFonts w:ascii="Cambria Math" w:hAnsi="Cambria Math"/>
              <w:lang w:val="en-US"/>
            </w:rPr>
            <m:t xml:space="preserve">=  </m:t>
          </m:r>
          <m:sSub>
            <m:sSubPr>
              <m:ctrlPr>
                <w:rPr>
                  <w:rFonts w:ascii="Cambria Math" w:hAnsi="Cambria Math"/>
                  <w:b/>
                  <w:i/>
                  <w:lang w:val="en-US"/>
                </w:rPr>
              </m:ctrlPr>
            </m:sSubPr>
            <m:e>
              <m:r>
                <m:rPr>
                  <m:nor/>
                </m:rPr>
                <w:rPr>
                  <w:rFonts w:ascii="Cambria Math" w:hAnsi="Cambria Math"/>
                  <w:b/>
                  <w:lang w:val="en-US"/>
                </w:rPr>
                <m:t>D</m:t>
              </m:r>
            </m:e>
            <m:sub>
              <m:r>
                <m:rPr>
                  <m:nor/>
                </m:rPr>
                <w:rPr>
                  <w:rFonts w:ascii="Cambria Math" w:hAnsi="Cambria Math"/>
                  <w:b/>
                  <w:lang w:val="en-US"/>
                </w:rPr>
                <m:t>RRC,2</m:t>
              </m:r>
            </m:sub>
          </m:sSub>
          <m:r>
            <m:rPr>
              <m:sty m:val="bi"/>
            </m:rPr>
            <w:rPr>
              <w:rFonts w:ascii="Cambria Math" w:hAnsi="Cambria Math"/>
              <w:lang w:val="en-US"/>
            </w:rPr>
            <m:t>+</m:t>
          </m:r>
          <m:sSub>
            <m:sSubPr>
              <m:ctrlPr>
                <w:rPr>
                  <w:rFonts w:ascii="Cambria Math" w:hAnsi="Cambria Math"/>
                  <w:b/>
                  <w:i/>
                  <w:lang w:val="en-US"/>
                </w:rPr>
              </m:ctrlPr>
            </m:sSubPr>
            <m:e>
              <m:r>
                <m:rPr>
                  <m:nor/>
                </m:rPr>
                <w:rPr>
                  <w:rFonts w:ascii="Cambria Math" w:hAnsi="Cambria Math"/>
                  <w:b/>
                  <w:lang w:val="en-US"/>
                </w:rPr>
                <m:t>T</m:t>
              </m:r>
            </m:e>
            <m:sub>
              <m:r>
                <m:rPr>
                  <m:nor/>
                </m:rPr>
                <w:rPr>
                  <w:rFonts w:ascii="Cambria Math" w:hAnsi="Cambria Math"/>
                  <w:b/>
                  <w:lang w:val="en-US"/>
                </w:rPr>
                <m:t>interrupt</m:t>
              </m:r>
            </m:sub>
          </m:sSub>
        </m:oMath>
      </m:oMathPara>
    </w:p>
    <w:p w14:paraId="4DCB6B03" w14:textId="77777777" w:rsidR="005E395A" w:rsidRPr="005E395A" w:rsidRDefault="0030744A" w:rsidP="005E395A">
      <w:pPr>
        <w:rPr>
          <w:b/>
          <w:lang w:val="en-US"/>
        </w:rPr>
      </w:pPr>
      <m:oMathPara>
        <m:oMath>
          <m:sSub>
            <m:sSubPr>
              <m:ctrlPr>
                <w:rPr>
                  <w:rFonts w:ascii="Cambria Math" w:hAnsi="Cambria Math"/>
                  <w:b/>
                  <w:i/>
                  <w:lang w:val="en-US"/>
                </w:rPr>
              </m:ctrlPr>
            </m:sSubPr>
            <m:e>
              <m:r>
                <m:rPr>
                  <m:nor/>
                </m:rPr>
                <w:rPr>
                  <w:rFonts w:ascii="Cambria Math" w:hAnsi="Cambria Math"/>
                  <w:b/>
                  <w:lang w:val="en-US"/>
                </w:rPr>
                <m:t>T</m:t>
              </m:r>
            </m:e>
            <m:sub>
              <m:r>
                <m:rPr>
                  <m:nor/>
                </m:rPr>
                <w:rPr>
                  <w:rFonts w:ascii="Cambria Math" w:hAnsi="Cambria Math"/>
                  <w:b/>
                  <w:lang w:val="en-US"/>
                </w:rPr>
                <m:t>interrupt</m:t>
              </m:r>
            </m:sub>
          </m:sSub>
          <m:r>
            <m:rPr>
              <m:nor/>
            </m:rPr>
            <w:rPr>
              <w:rFonts w:ascii="Cambria Math" w:hAnsi="Cambria Math"/>
              <w:b/>
              <w:lang w:val="en-US"/>
            </w:rPr>
            <m:t>=</m:t>
          </m:r>
          <m:sSub>
            <m:sSubPr>
              <m:ctrlPr>
                <w:rPr>
                  <w:rFonts w:ascii="Cambria Math" w:hAnsi="Cambria Math"/>
                  <w:b/>
                  <w:i/>
                  <w:lang w:val="en-US"/>
                </w:rPr>
              </m:ctrlPr>
            </m:sSubPr>
            <m:e>
              <m:r>
                <m:rPr>
                  <m:nor/>
                </m:rPr>
                <w:rPr>
                  <w:rFonts w:ascii="Cambria Math" w:hAnsi="Cambria Math"/>
                  <w:b/>
                  <w:lang w:val="en-US"/>
                </w:rPr>
                <m:t>T</m:t>
              </m:r>
            </m:e>
            <m:sub>
              <m:r>
                <m:rPr>
                  <m:nor/>
                </m:rPr>
                <w:rPr>
                  <w:rFonts w:ascii="Cambria Math" w:hAnsi="Cambria Math"/>
                  <w:b/>
                  <w:lang w:val="en-US"/>
                </w:rPr>
                <m:t xml:space="preserve">UE_processing </m:t>
              </m:r>
            </m:sub>
          </m:sSub>
          <m:r>
            <m:rPr>
              <m:nor/>
            </m:rPr>
            <w:rPr>
              <w:rFonts w:ascii="Cambria Math" w:hAnsi="Cambria Math"/>
              <w:b/>
              <w:lang w:val="en-US"/>
            </w:rPr>
            <m:t>+</m:t>
          </m:r>
          <m:sSub>
            <m:sSubPr>
              <m:ctrlPr>
                <w:rPr>
                  <w:rFonts w:ascii="Cambria Math" w:hAnsi="Cambria Math"/>
                  <w:b/>
                  <w:i/>
                  <w:lang w:val="en-US"/>
                </w:rPr>
              </m:ctrlPr>
            </m:sSubPr>
            <m:e>
              <m:r>
                <m:rPr>
                  <m:nor/>
                </m:rPr>
                <w:rPr>
                  <w:rFonts w:ascii="Cambria Math" w:hAnsi="Cambria Math"/>
                  <w:b/>
                  <w:lang w:val="en-US"/>
                </w:rPr>
                <m:t>T</m:t>
              </m:r>
            </m:e>
            <m:sub>
              <m:r>
                <m:rPr>
                  <m:nor/>
                </m:rPr>
                <w:rPr>
                  <w:rFonts w:ascii="Cambria Math" w:hAnsi="Cambria Math"/>
                  <w:b/>
                  <w:lang w:val="en-US"/>
                </w:rPr>
                <m:t>IU</m:t>
              </m:r>
            </m:sub>
          </m:sSub>
        </m:oMath>
      </m:oMathPara>
    </w:p>
    <w:p w14:paraId="7D4D71CC" w14:textId="7A7576F3" w:rsidR="005E395A" w:rsidRPr="005E395A" w:rsidRDefault="005E395A" w:rsidP="0043307E">
      <w:pPr>
        <w:rPr>
          <w:b/>
          <w:lang w:val="en-US"/>
        </w:rPr>
      </w:pPr>
      <w:r w:rsidRPr="005E395A">
        <w:rPr>
          <w:b/>
          <w:lang w:val="en-US"/>
        </w:rPr>
        <w:t xml:space="preserve">Where </w:t>
      </w:r>
      <m:oMath>
        <m:sSub>
          <m:sSubPr>
            <m:ctrlPr>
              <w:rPr>
                <w:rFonts w:ascii="Cambria Math" w:hAnsi="Cambria Math"/>
                <w:b/>
                <w:i/>
                <w:lang w:val="en-US"/>
              </w:rPr>
            </m:ctrlPr>
          </m:sSubPr>
          <m:e>
            <m:r>
              <m:rPr>
                <m:nor/>
              </m:rPr>
              <w:rPr>
                <w:rFonts w:ascii="Cambria Math" w:hAnsi="Cambria Math"/>
                <w:b/>
                <w:lang w:val="en-US"/>
              </w:rPr>
              <m:t>D</m:t>
            </m:r>
          </m:e>
          <m:sub>
            <m:r>
              <m:rPr>
                <m:nor/>
              </m:rPr>
              <w:rPr>
                <w:rFonts w:ascii="Cambria Math" w:hAnsi="Cambria Math"/>
                <w:b/>
                <w:lang w:val="en-US"/>
              </w:rPr>
              <m:t>RRC,2</m:t>
            </m:r>
          </m:sub>
        </m:sSub>
      </m:oMath>
      <w:r w:rsidRPr="005E395A">
        <w:rPr>
          <w:b/>
          <w:lang w:val="en-US"/>
        </w:rPr>
        <w:t xml:space="preserve"> corresponds to the second part of RRC processing and </w:t>
      </w:r>
      <m:oMath>
        <m:sSub>
          <m:sSubPr>
            <m:ctrlPr>
              <w:rPr>
                <w:rFonts w:ascii="Cambria Math" w:hAnsi="Cambria Math"/>
                <w:b/>
                <w:i/>
                <w:lang w:val="en-US"/>
              </w:rPr>
            </m:ctrlPr>
          </m:sSubPr>
          <m:e>
            <m:r>
              <m:rPr>
                <m:nor/>
              </m:rPr>
              <w:rPr>
                <w:rFonts w:ascii="Cambria Math" w:hAnsi="Cambria Math"/>
                <w:b/>
                <w:lang w:val="en-US"/>
              </w:rPr>
              <m:t>T</m:t>
            </m:r>
          </m:e>
          <m:sub>
            <m:r>
              <m:rPr>
                <m:nor/>
              </m:rPr>
              <w:rPr>
                <w:rFonts w:ascii="Cambria Math" w:hAnsi="Cambria Math"/>
                <w:b/>
                <w:lang w:val="en-US"/>
              </w:rPr>
              <m:t xml:space="preserve">UE_processing </m:t>
            </m:r>
          </m:sub>
        </m:sSub>
      </m:oMath>
      <w:r w:rsidRPr="005E395A">
        <w:rPr>
          <w:b/>
          <w:lang w:val="en-US"/>
        </w:rPr>
        <w:t xml:space="preserve">is UE processing delay. The values of </w:t>
      </w:r>
      <m:oMath>
        <m:sSub>
          <m:sSubPr>
            <m:ctrlPr>
              <w:rPr>
                <w:rFonts w:ascii="Cambria Math" w:hAnsi="Cambria Math"/>
                <w:b/>
                <w:i/>
                <w:lang w:val="en-US"/>
              </w:rPr>
            </m:ctrlPr>
          </m:sSubPr>
          <m:e>
            <m:r>
              <m:rPr>
                <m:nor/>
              </m:rPr>
              <w:rPr>
                <w:rFonts w:ascii="Cambria Math" w:hAnsi="Cambria Math"/>
                <w:b/>
                <w:lang w:val="en-US"/>
              </w:rPr>
              <m:t>D</m:t>
            </m:r>
          </m:e>
          <m:sub>
            <m:r>
              <m:rPr>
                <m:nor/>
              </m:rPr>
              <w:rPr>
                <w:rFonts w:ascii="Cambria Math" w:hAnsi="Cambria Math"/>
                <w:b/>
                <w:lang w:val="en-US"/>
              </w:rPr>
              <m:t>RRC,2</m:t>
            </m:r>
          </m:sub>
        </m:sSub>
      </m:oMath>
      <w:r w:rsidRPr="005E395A">
        <w:rPr>
          <w:b/>
          <w:lang w:val="en-US"/>
        </w:rPr>
        <w:t xml:space="preserve"> and </w:t>
      </w:r>
      <m:oMath>
        <m:sSub>
          <m:sSubPr>
            <m:ctrlPr>
              <w:rPr>
                <w:rFonts w:ascii="Cambria Math" w:hAnsi="Cambria Math"/>
                <w:b/>
                <w:i/>
                <w:lang w:val="en-US"/>
              </w:rPr>
            </m:ctrlPr>
          </m:sSubPr>
          <m:e>
            <m:r>
              <m:rPr>
                <m:nor/>
              </m:rPr>
              <w:rPr>
                <w:rFonts w:ascii="Cambria Math" w:hAnsi="Cambria Math"/>
                <w:b/>
                <w:lang w:val="en-US"/>
              </w:rPr>
              <m:t>T</m:t>
            </m:r>
          </m:e>
          <m:sub>
            <m:r>
              <m:rPr>
                <m:nor/>
              </m:rPr>
              <w:rPr>
                <w:rFonts w:ascii="Cambria Math" w:hAnsi="Cambria Math"/>
                <w:b/>
                <w:lang w:val="en-US"/>
              </w:rPr>
              <m:t xml:space="preserve">UE_processing </m:t>
            </m:r>
          </m:sub>
        </m:sSub>
      </m:oMath>
      <w:r w:rsidRPr="005E395A">
        <w:rPr>
          <w:b/>
          <w:lang w:val="en-US"/>
        </w:rPr>
        <w:t>are FFS and subject to further RAN4 study.</w:t>
      </w:r>
    </w:p>
    <w:p w14:paraId="05109B46" w14:textId="359812F8" w:rsidR="00F2107A" w:rsidRDefault="0032488E" w:rsidP="005D6C7D">
      <w:pPr>
        <w:pStyle w:val="Heading1"/>
        <w:rPr>
          <w:lang w:val="en-US"/>
        </w:rPr>
      </w:pPr>
      <w:r>
        <w:rPr>
          <w:lang w:val="en-US"/>
        </w:rPr>
        <w:t>Con</w:t>
      </w:r>
      <w:r w:rsidR="00F2107A">
        <w:rPr>
          <w:lang w:val="en-US"/>
        </w:rPr>
        <w:t>clusions</w:t>
      </w:r>
    </w:p>
    <w:p w14:paraId="35B2A387" w14:textId="77777777" w:rsidR="00C34898" w:rsidRPr="0088503E" w:rsidRDefault="00C34898" w:rsidP="00C34898">
      <w:pPr>
        <w:rPr>
          <w:b/>
          <w:lang w:val="en-US"/>
        </w:rPr>
      </w:pPr>
      <w:r w:rsidRPr="0088503E">
        <w:rPr>
          <w:b/>
          <w:lang w:val="en-US"/>
        </w:rPr>
        <w:t xml:space="preserve">Proposal 1. </w:t>
      </w:r>
      <m:oMath>
        <m:sSub>
          <m:sSubPr>
            <m:ctrlPr>
              <w:rPr>
                <w:rFonts w:ascii="Cambria Math" w:hAnsi="Cambria Math"/>
                <w:b/>
                <w:i/>
                <w:lang w:val="en-US"/>
              </w:rPr>
            </m:ctrlPr>
          </m:sSubPr>
          <m:e>
            <m:r>
              <m:rPr>
                <m:nor/>
              </m:rPr>
              <w:rPr>
                <w:rFonts w:ascii="Cambria Math" w:hAnsi="Cambria Math"/>
                <w:b/>
                <w:lang w:val="en-US"/>
              </w:rPr>
              <m:t>T</m:t>
            </m:r>
          </m:e>
          <m:sub>
            <m:r>
              <m:rPr>
                <m:nor/>
              </m:rPr>
              <w:rPr>
                <w:rFonts w:ascii="Cambria Math" w:hAnsi="Cambria Math"/>
                <w:b/>
                <w:lang w:val="en-US"/>
              </w:rPr>
              <m:t>search</m:t>
            </m:r>
          </m:sub>
        </m:sSub>
        <m:r>
          <m:rPr>
            <m:sty m:val="bi"/>
          </m:rPr>
          <w:rPr>
            <w:rFonts w:ascii="Cambria Math" w:hAnsi="Cambria Math"/>
            <w:lang w:val="en-US"/>
          </w:rPr>
          <m:t>=0</m:t>
        </m:r>
      </m:oMath>
      <w:r w:rsidRPr="0088503E">
        <w:rPr>
          <w:b/>
          <w:lang w:val="en-US"/>
        </w:rPr>
        <w:t xml:space="preserve"> in CHO.</w:t>
      </w:r>
    </w:p>
    <w:p w14:paraId="08A92D8B" w14:textId="77777777" w:rsidR="00C34898" w:rsidRPr="0043307E" w:rsidRDefault="00C34898" w:rsidP="00C34898">
      <w:pPr>
        <w:rPr>
          <w:b/>
          <w:lang w:val="en-US"/>
        </w:rPr>
      </w:pPr>
      <w:r w:rsidRPr="0043307E">
        <w:rPr>
          <w:b/>
        </w:rPr>
        <w:t xml:space="preserve">Observation 1. </w:t>
      </w:r>
      <w:r w:rsidRPr="0043307E">
        <w:rPr>
          <w:b/>
          <w:lang w:val="en-US"/>
        </w:rPr>
        <w:t>Many steps in clause 5.3.5.4 [2] cannot be executed until the first condition specified in the conditional HO command is met since:</w:t>
      </w:r>
    </w:p>
    <w:p w14:paraId="5D44E398" w14:textId="1D8B8059" w:rsidR="00C34898" w:rsidRPr="0043307E" w:rsidRDefault="00C34898" w:rsidP="00C34898">
      <w:pPr>
        <w:pStyle w:val="ListParagraph"/>
        <w:numPr>
          <w:ilvl w:val="0"/>
          <w:numId w:val="23"/>
        </w:numPr>
        <w:rPr>
          <w:b/>
          <w:sz w:val="20"/>
        </w:rPr>
      </w:pPr>
      <w:r w:rsidRPr="0043307E">
        <w:rPr>
          <w:b/>
          <w:sz w:val="20"/>
        </w:rPr>
        <w:t>only in that instance of time the identity of the target cell is known</w:t>
      </w:r>
    </w:p>
    <w:p w14:paraId="36DC1D9A" w14:textId="72C62991" w:rsidR="00C34898" w:rsidRPr="0043307E" w:rsidRDefault="00C34898" w:rsidP="00C34898">
      <w:pPr>
        <w:pStyle w:val="ListParagraph"/>
        <w:numPr>
          <w:ilvl w:val="0"/>
          <w:numId w:val="23"/>
        </w:numPr>
        <w:rPr>
          <w:b/>
          <w:sz w:val="20"/>
        </w:rPr>
      </w:pPr>
      <w:r w:rsidRPr="0043307E">
        <w:rPr>
          <w:b/>
          <w:sz w:val="20"/>
        </w:rPr>
        <w:t>UE can prematurely declare RLF if some of the steps are executed as it is possible that the conditions configured in CHO command</w:t>
      </w:r>
      <w:r w:rsidR="00736C87">
        <w:rPr>
          <w:b/>
          <w:sz w:val="20"/>
        </w:rPr>
        <w:t xml:space="preserve"> are</w:t>
      </w:r>
      <w:r w:rsidRPr="0043307E">
        <w:rPr>
          <w:b/>
          <w:sz w:val="20"/>
        </w:rPr>
        <w:t xml:space="preserve"> never met</w:t>
      </w:r>
    </w:p>
    <w:p w14:paraId="6BA3A6C1" w14:textId="77777777" w:rsidR="00B90F89" w:rsidRDefault="00B90F89" w:rsidP="00C34898"/>
    <w:p w14:paraId="04F21F90" w14:textId="79519FB7" w:rsidR="00C34898" w:rsidRDefault="00C34898" w:rsidP="00C34898">
      <w:pPr>
        <w:rPr>
          <w:b/>
        </w:rPr>
      </w:pPr>
      <w:r w:rsidRPr="0043307E">
        <w:rPr>
          <w:b/>
        </w:rPr>
        <w:t xml:space="preserve">Proposal 2. RRC processing delay to be broken into two segments; one to begin from the end of the last TTI of RRC command as in legacy HO </w:t>
      </w:r>
      <w:r w:rsidR="007A0BF5">
        <w:rPr>
          <w:b/>
        </w:rPr>
        <w:t>(D</w:t>
      </w:r>
      <w:r w:rsidR="007A0BF5" w:rsidRPr="00F2014F">
        <w:rPr>
          <w:b/>
          <w:vertAlign w:val="subscript"/>
        </w:rPr>
        <w:t>RRC,</w:t>
      </w:r>
      <w:r w:rsidR="007A0BF5">
        <w:rPr>
          <w:b/>
          <w:vertAlign w:val="subscript"/>
        </w:rPr>
        <w:t>1</w:t>
      </w:r>
      <w:r w:rsidR="007A0BF5">
        <w:rPr>
          <w:b/>
        </w:rPr>
        <w:t>)</w:t>
      </w:r>
      <w:r w:rsidR="007A0BF5" w:rsidRPr="0043307E">
        <w:rPr>
          <w:b/>
        </w:rPr>
        <w:t xml:space="preserve"> </w:t>
      </w:r>
      <w:r w:rsidRPr="0043307E">
        <w:rPr>
          <w:b/>
        </w:rPr>
        <w:t xml:space="preserve">and </w:t>
      </w:r>
      <w:r>
        <w:rPr>
          <w:b/>
        </w:rPr>
        <w:t>another</w:t>
      </w:r>
      <w:r w:rsidRPr="0043307E">
        <w:rPr>
          <w:b/>
        </w:rPr>
        <w:t xml:space="preserve"> to begin from the time UE assesses the condition specified in CHO command </w:t>
      </w:r>
      <w:r>
        <w:rPr>
          <w:b/>
        </w:rPr>
        <w:t>is</w:t>
      </w:r>
      <w:r w:rsidRPr="0043307E">
        <w:rPr>
          <w:b/>
        </w:rPr>
        <w:t xml:space="preserve"> satisfied</w:t>
      </w:r>
      <w:r w:rsidR="007A0BF5">
        <w:rPr>
          <w:b/>
        </w:rPr>
        <w:t xml:space="preserve"> (D</w:t>
      </w:r>
      <w:r w:rsidR="007A0BF5" w:rsidRPr="00F2014F">
        <w:rPr>
          <w:b/>
          <w:vertAlign w:val="subscript"/>
        </w:rPr>
        <w:t>RRC,</w:t>
      </w:r>
      <w:r w:rsidR="007A0BF5">
        <w:rPr>
          <w:b/>
          <w:vertAlign w:val="subscript"/>
        </w:rPr>
        <w:t>2</w:t>
      </w:r>
      <w:r w:rsidR="007A0BF5">
        <w:rPr>
          <w:b/>
        </w:rPr>
        <w:t>)</w:t>
      </w:r>
      <w:r w:rsidRPr="0043307E">
        <w:rPr>
          <w:b/>
        </w:rPr>
        <w:t xml:space="preserve">. Length of each segment is FFS. </w:t>
      </w:r>
    </w:p>
    <w:p w14:paraId="038B8EF9" w14:textId="77777777" w:rsidR="00B90F89" w:rsidRPr="00C34898" w:rsidRDefault="00B90F89" w:rsidP="00B90F89">
      <w:pPr>
        <w:rPr>
          <w:b/>
          <w:lang w:val="en-US"/>
        </w:rPr>
      </w:pPr>
      <w:r w:rsidRPr="00C34898">
        <w:rPr>
          <w:b/>
          <w:lang w:val="en-US"/>
        </w:rPr>
        <w:t xml:space="preserve">Observation 2. </w:t>
      </w:r>
      <w:r>
        <w:rPr>
          <w:b/>
          <w:lang w:val="en-US"/>
        </w:rPr>
        <w:t>For defining handover delay, u</w:t>
      </w:r>
      <w:r w:rsidRPr="00C34898">
        <w:rPr>
          <w:b/>
          <w:lang w:val="en-US"/>
        </w:rPr>
        <w:t xml:space="preserve">sing the same reference start point as legacy HO (i.e., last TTI of RRC command) prevents </w:t>
      </w:r>
      <w:r>
        <w:rPr>
          <w:b/>
          <w:lang w:val="en-US"/>
        </w:rPr>
        <w:t>capping</w:t>
      </w:r>
      <w:r w:rsidRPr="00C34898">
        <w:rPr>
          <w:b/>
          <w:lang w:val="en-US"/>
        </w:rPr>
        <w:t xml:space="preserve"> handover delay </w:t>
      </w:r>
      <w:r>
        <w:rPr>
          <w:b/>
          <w:lang w:val="en-US"/>
        </w:rPr>
        <w:t xml:space="preserve">with a maximum value </w:t>
      </w:r>
      <w:r w:rsidRPr="00C34898">
        <w:rPr>
          <w:b/>
          <w:lang w:val="en-US"/>
        </w:rPr>
        <w:t>as the uncertainty related to the delay in which UE begins CHO execution depends on the channel conditions of the source cell and target cells.</w:t>
      </w:r>
    </w:p>
    <w:p w14:paraId="2D415FF6" w14:textId="77777777" w:rsidR="00B90F89" w:rsidRPr="005E395A" w:rsidRDefault="00B90F89" w:rsidP="00B90F89">
      <w:pPr>
        <w:rPr>
          <w:b/>
          <w:lang w:val="en-US"/>
        </w:rPr>
      </w:pPr>
      <w:r w:rsidRPr="005E395A">
        <w:rPr>
          <w:b/>
          <w:lang w:val="en-US"/>
        </w:rPr>
        <w:lastRenderedPageBreak/>
        <w:t>Proposal 3. The reference start point which should be used for defining the CHO delay is the TTI in which UE determines conditions are met and HO execution begins.</w:t>
      </w:r>
    </w:p>
    <w:p w14:paraId="46BDEC00" w14:textId="77777777" w:rsidR="00B90F89" w:rsidRPr="005E395A" w:rsidRDefault="00B90F89" w:rsidP="00B90F89">
      <w:pPr>
        <w:rPr>
          <w:b/>
          <w:lang w:val="en-US"/>
        </w:rPr>
      </w:pPr>
      <w:r w:rsidRPr="005E395A">
        <w:rPr>
          <w:b/>
          <w:lang w:val="en-US"/>
        </w:rPr>
        <w:t xml:space="preserve">Proposal 4. Handover delay in CHO to be defined as </w:t>
      </w:r>
    </w:p>
    <w:p w14:paraId="7F138F2B" w14:textId="77777777" w:rsidR="00B90F89" w:rsidRPr="005E395A" w:rsidRDefault="0030744A" w:rsidP="00B90F89">
      <w:pPr>
        <w:rPr>
          <w:b/>
          <w:lang w:val="en-US"/>
        </w:rPr>
      </w:pPr>
      <m:oMathPara>
        <m:oMath>
          <m:sSub>
            <m:sSubPr>
              <m:ctrlPr>
                <w:rPr>
                  <w:rFonts w:ascii="Cambria Math" w:hAnsi="Cambria Math"/>
                  <w:b/>
                  <w:i/>
                  <w:lang w:val="en-US"/>
                </w:rPr>
              </m:ctrlPr>
            </m:sSubPr>
            <m:e>
              <m:r>
                <m:rPr>
                  <m:nor/>
                </m:rPr>
                <w:rPr>
                  <w:rFonts w:ascii="Cambria Math" w:hAnsi="Cambria Math"/>
                  <w:b/>
                  <w:lang w:val="en-US"/>
                </w:rPr>
                <m:t>D</m:t>
              </m:r>
            </m:e>
            <m:sub>
              <m:r>
                <m:rPr>
                  <m:nor/>
                </m:rPr>
                <w:rPr>
                  <w:rFonts w:ascii="Cambria Math" w:hAnsi="Cambria Math"/>
                  <w:b/>
                  <w:lang w:val="en-US"/>
                </w:rPr>
                <m:t>handover</m:t>
              </m:r>
            </m:sub>
          </m:sSub>
          <m:r>
            <m:rPr>
              <m:sty m:val="bi"/>
            </m:rPr>
            <w:rPr>
              <w:rFonts w:ascii="Cambria Math" w:hAnsi="Cambria Math"/>
              <w:lang w:val="en-US"/>
            </w:rPr>
            <m:t xml:space="preserve">=  </m:t>
          </m:r>
          <m:sSub>
            <m:sSubPr>
              <m:ctrlPr>
                <w:rPr>
                  <w:rFonts w:ascii="Cambria Math" w:hAnsi="Cambria Math"/>
                  <w:b/>
                  <w:i/>
                  <w:lang w:val="en-US"/>
                </w:rPr>
              </m:ctrlPr>
            </m:sSubPr>
            <m:e>
              <m:r>
                <m:rPr>
                  <m:nor/>
                </m:rPr>
                <w:rPr>
                  <w:rFonts w:ascii="Cambria Math" w:hAnsi="Cambria Math"/>
                  <w:b/>
                  <w:lang w:val="en-US"/>
                </w:rPr>
                <m:t>D</m:t>
              </m:r>
            </m:e>
            <m:sub>
              <m:r>
                <m:rPr>
                  <m:nor/>
                </m:rPr>
                <w:rPr>
                  <w:rFonts w:ascii="Cambria Math" w:hAnsi="Cambria Math"/>
                  <w:b/>
                  <w:lang w:val="en-US"/>
                </w:rPr>
                <m:t>RRC,2</m:t>
              </m:r>
            </m:sub>
          </m:sSub>
          <m:r>
            <m:rPr>
              <m:sty m:val="bi"/>
            </m:rPr>
            <w:rPr>
              <w:rFonts w:ascii="Cambria Math" w:hAnsi="Cambria Math"/>
              <w:lang w:val="en-US"/>
            </w:rPr>
            <m:t>+</m:t>
          </m:r>
          <m:sSub>
            <m:sSubPr>
              <m:ctrlPr>
                <w:rPr>
                  <w:rFonts w:ascii="Cambria Math" w:hAnsi="Cambria Math"/>
                  <w:b/>
                  <w:i/>
                  <w:lang w:val="en-US"/>
                </w:rPr>
              </m:ctrlPr>
            </m:sSubPr>
            <m:e>
              <m:r>
                <m:rPr>
                  <m:nor/>
                </m:rPr>
                <w:rPr>
                  <w:rFonts w:ascii="Cambria Math" w:hAnsi="Cambria Math"/>
                  <w:b/>
                  <w:lang w:val="en-US"/>
                </w:rPr>
                <m:t>T</m:t>
              </m:r>
            </m:e>
            <m:sub>
              <m:r>
                <m:rPr>
                  <m:nor/>
                </m:rPr>
                <w:rPr>
                  <w:rFonts w:ascii="Cambria Math" w:hAnsi="Cambria Math"/>
                  <w:b/>
                  <w:lang w:val="en-US"/>
                </w:rPr>
                <m:t>interrupt</m:t>
              </m:r>
            </m:sub>
          </m:sSub>
        </m:oMath>
      </m:oMathPara>
    </w:p>
    <w:p w14:paraId="2C68564A" w14:textId="77777777" w:rsidR="00B90F89" w:rsidRPr="005E395A" w:rsidRDefault="0030744A" w:rsidP="00B90F89">
      <w:pPr>
        <w:rPr>
          <w:b/>
          <w:lang w:val="en-US"/>
        </w:rPr>
      </w:pPr>
      <m:oMathPara>
        <m:oMath>
          <m:sSub>
            <m:sSubPr>
              <m:ctrlPr>
                <w:rPr>
                  <w:rFonts w:ascii="Cambria Math" w:hAnsi="Cambria Math"/>
                  <w:b/>
                  <w:i/>
                  <w:lang w:val="en-US"/>
                </w:rPr>
              </m:ctrlPr>
            </m:sSubPr>
            <m:e>
              <m:r>
                <m:rPr>
                  <m:nor/>
                </m:rPr>
                <w:rPr>
                  <w:rFonts w:ascii="Cambria Math" w:hAnsi="Cambria Math"/>
                  <w:b/>
                  <w:lang w:val="en-US"/>
                </w:rPr>
                <m:t>T</m:t>
              </m:r>
            </m:e>
            <m:sub>
              <m:r>
                <m:rPr>
                  <m:nor/>
                </m:rPr>
                <w:rPr>
                  <w:rFonts w:ascii="Cambria Math" w:hAnsi="Cambria Math"/>
                  <w:b/>
                  <w:lang w:val="en-US"/>
                </w:rPr>
                <m:t>interrupt</m:t>
              </m:r>
            </m:sub>
          </m:sSub>
          <m:r>
            <m:rPr>
              <m:nor/>
            </m:rPr>
            <w:rPr>
              <w:rFonts w:ascii="Cambria Math" w:hAnsi="Cambria Math"/>
              <w:b/>
              <w:lang w:val="en-US"/>
            </w:rPr>
            <m:t>=</m:t>
          </m:r>
          <m:sSub>
            <m:sSubPr>
              <m:ctrlPr>
                <w:rPr>
                  <w:rFonts w:ascii="Cambria Math" w:hAnsi="Cambria Math"/>
                  <w:b/>
                  <w:i/>
                  <w:lang w:val="en-US"/>
                </w:rPr>
              </m:ctrlPr>
            </m:sSubPr>
            <m:e>
              <m:r>
                <m:rPr>
                  <m:nor/>
                </m:rPr>
                <w:rPr>
                  <w:rFonts w:ascii="Cambria Math" w:hAnsi="Cambria Math"/>
                  <w:b/>
                  <w:lang w:val="en-US"/>
                </w:rPr>
                <m:t>T</m:t>
              </m:r>
            </m:e>
            <m:sub>
              <m:r>
                <m:rPr>
                  <m:nor/>
                </m:rPr>
                <w:rPr>
                  <w:rFonts w:ascii="Cambria Math" w:hAnsi="Cambria Math"/>
                  <w:b/>
                  <w:lang w:val="en-US"/>
                </w:rPr>
                <m:t xml:space="preserve">UE_processing </m:t>
              </m:r>
            </m:sub>
          </m:sSub>
          <m:r>
            <m:rPr>
              <m:nor/>
            </m:rPr>
            <w:rPr>
              <w:rFonts w:ascii="Cambria Math" w:hAnsi="Cambria Math"/>
              <w:b/>
              <w:lang w:val="en-US"/>
            </w:rPr>
            <m:t>+</m:t>
          </m:r>
          <m:sSub>
            <m:sSubPr>
              <m:ctrlPr>
                <w:rPr>
                  <w:rFonts w:ascii="Cambria Math" w:hAnsi="Cambria Math"/>
                  <w:b/>
                  <w:i/>
                  <w:lang w:val="en-US"/>
                </w:rPr>
              </m:ctrlPr>
            </m:sSubPr>
            <m:e>
              <m:r>
                <m:rPr>
                  <m:nor/>
                </m:rPr>
                <w:rPr>
                  <w:rFonts w:ascii="Cambria Math" w:hAnsi="Cambria Math"/>
                  <w:b/>
                  <w:lang w:val="en-US"/>
                </w:rPr>
                <m:t>T</m:t>
              </m:r>
            </m:e>
            <m:sub>
              <m:r>
                <m:rPr>
                  <m:nor/>
                </m:rPr>
                <w:rPr>
                  <w:rFonts w:ascii="Cambria Math" w:hAnsi="Cambria Math"/>
                  <w:b/>
                  <w:lang w:val="en-US"/>
                </w:rPr>
                <m:t>IU</m:t>
              </m:r>
            </m:sub>
          </m:sSub>
        </m:oMath>
      </m:oMathPara>
    </w:p>
    <w:p w14:paraId="261C8ACA" w14:textId="7F8EC063" w:rsidR="00496B44" w:rsidRDefault="00B90F89" w:rsidP="00496B44">
      <w:pPr>
        <w:rPr>
          <w:b/>
          <w:lang w:val="en-US"/>
        </w:rPr>
      </w:pPr>
      <w:r w:rsidRPr="005E395A">
        <w:rPr>
          <w:b/>
          <w:lang w:val="en-US"/>
        </w:rPr>
        <w:t xml:space="preserve">Where </w:t>
      </w:r>
      <m:oMath>
        <m:sSub>
          <m:sSubPr>
            <m:ctrlPr>
              <w:rPr>
                <w:rFonts w:ascii="Cambria Math" w:hAnsi="Cambria Math"/>
                <w:b/>
                <w:i/>
                <w:lang w:val="en-US"/>
              </w:rPr>
            </m:ctrlPr>
          </m:sSubPr>
          <m:e>
            <m:r>
              <m:rPr>
                <m:nor/>
              </m:rPr>
              <w:rPr>
                <w:rFonts w:ascii="Cambria Math" w:hAnsi="Cambria Math"/>
                <w:b/>
                <w:lang w:val="en-US"/>
              </w:rPr>
              <m:t>D</m:t>
            </m:r>
          </m:e>
          <m:sub>
            <m:r>
              <m:rPr>
                <m:nor/>
              </m:rPr>
              <w:rPr>
                <w:rFonts w:ascii="Cambria Math" w:hAnsi="Cambria Math"/>
                <w:b/>
                <w:lang w:val="en-US"/>
              </w:rPr>
              <m:t>RRC,2</m:t>
            </m:r>
          </m:sub>
        </m:sSub>
      </m:oMath>
      <w:r w:rsidRPr="005E395A">
        <w:rPr>
          <w:b/>
          <w:lang w:val="en-US"/>
        </w:rPr>
        <w:t xml:space="preserve"> corresponds to the second part of RRC processing and </w:t>
      </w:r>
      <m:oMath>
        <m:sSub>
          <m:sSubPr>
            <m:ctrlPr>
              <w:rPr>
                <w:rFonts w:ascii="Cambria Math" w:hAnsi="Cambria Math"/>
                <w:b/>
                <w:i/>
                <w:lang w:val="en-US"/>
              </w:rPr>
            </m:ctrlPr>
          </m:sSubPr>
          <m:e>
            <m:r>
              <m:rPr>
                <m:nor/>
              </m:rPr>
              <w:rPr>
                <w:rFonts w:ascii="Cambria Math" w:hAnsi="Cambria Math"/>
                <w:b/>
                <w:lang w:val="en-US"/>
              </w:rPr>
              <m:t>T</m:t>
            </m:r>
          </m:e>
          <m:sub>
            <m:r>
              <m:rPr>
                <m:nor/>
              </m:rPr>
              <w:rPr>
                <w:rFonts w:ascii="Cambria Math" w:hAnsi="Cambria Math"/>
                <w:b/>
                <w:lang w:val="en-US"/>
              </w:rPr>
              <m:t xml:space="preserve">UE_processing </m:t>
            </m:r>
          </m:sub>
        </m:sSub>
      </m:oMath>
      <w:r w:rsidRPr="005E395A">
        <w:rPr>
          <w:b/>
          <w:lang w:val="en-US"/>
        </w:rPr>
        <w:t xml:space="preserve">is UE processing delay. The values of </w:t>
      </w:r>
      <m:oMath>
        <m:sSub>
          <m:sSubPr>
            <m:ctrlPr>
              <w:rPr>
                <w:rFonts w:ascii="Cambria Math" w:hAnsi="Cambria Math"/>
                <w:b/>
                <w:i/>
                <w:lang w:val="en-US"/>
              </w:rPr>
            </m:ctrlPr>
          </m:sSubPr>
          <m:e>
            <m:r>
              <m:rPr>
                <m:nor/>
              </m:rPr>
              <w:rPr>
                <w:rFonts w:ascii="Cambria Math" w:hAnsi="Cambria Math"/>
                <w:b/>
                <w:lang w:val="en-US"/>
              </w:rPr>
              <m:t>D</m:t>
            </m:r>
          </m:e>
          <m:sub>
            <m:r>
              <m:rPr>
                <m:nor/>
              </m:rPr>
              <w:rPr>
                <w:rFonts w:ascii="Cambria Math" w:hAnsi="Cambria Math"/>
                <w:b/>
                <w:lang w:val="en-US"/>
              </w:rPr>
              <m:t>RRC,2</m:t>
            </m:r>
          </m:sub>
        </m:sSub>
      </m:oMath>
      <w:r w:rsidRPr="005E395A">
        <w:rPr>
          <w:b/>
          <w:lang w:val="en-US"/>
        </w:rPr>
        <w:t xml:space="preserve"> and </w:t>
      </w:r>
      <m:oMath>
        <m:sSub>
          <m:sSubPr>
            <m:ctrlPr>
              <w:rPr>
                <w:rFonts w:ascii="Cambria Math" w:hAnsi="Cambria Math"/>
                <w:b/>
                <w:i/>
                <w:lang w:val="en-US"/>
              </w:rPr>
            </m:ctrlPr>
          </m:sSubPr>
          <m:e>
            <m:r>
              <m:rPr>
                <m:nor/>
              </m:rPr>
              <w:rPr>
                <w:rFonts w:ascii="Cambria Math" w:hAnsi="Cambria Math"/>
                <w:b/>
                <w:lang w:val="en-US"/>
              </w:rPr>
              <m:t>T</m:t>
            </m:r>
          </m:e>
          <m:sub>
            <m:r>
              <m:rPr>
                <m:nor/>
              </m:rPr>
              <w:rPr>
                <w:rFonts w:ascii="Cambria Math" w:hAnsi="Cambria Math"/>
                <w:b/>
                <w:lang w:val="en-US"/>
              </w:rPr>
              <m:t xml:space="preserve">UE_processing </m:t>
            </m:r>
          </m:sub>
        </m:sSub>
      </m:oMath>
      <w:r w:rsidRPr="005E395A">
        <w:rPr>
          <w:b/>
          <w:lang w:val="en-US"/>
        </w:rPr>
        <w:t>are FFS and subject to further RAN4 study.</w:t>
      </w:r>
    </w:p>
    <w:p w14:paraId="22778396" w14:textId="42E16D92" w:rsidR="00A6379D" w:rsidRPr="00B90F89" w:rsidRDefault="00A6379D" w:rsidP="00A6379D">
      <w:pPr>
        <w:jc w:val="center"/>
        <w:rPr>
          <w:b/>
          <w:lang w:val="en-US"/>
        </w:rPr>
      </w:pPr>
      <w:r>
        <w:object w:dxaOrig="9181" w:dyaOrig="2752" w14:anchorId="2B3C49A1">
          <v:shape id="_x0000_i1027" type="#_x0000_t75" style="width:459pt;height:138pt" o:ole="">
            <v:imagedata r:id="rId12" o:title=""/>
          </v:shape>
          <o:OLEObject Type="Embed" ProgID="Visio.Drawing.11" ShapeID="_x0000_i1027" DrawAspect="Content" ObjectID="_1618394383" r:id="rId13"/>
        </w:object>
      </w:r>
    </w:p>
    <w:p w14:paraId="0C633F9D" w14:textId="77777777" w:rsidR="00797CE5" w:rsidRDefault="00797CE5" w:rsidP="006050F7">
      <w:pPr>
        <w:pStyle w:val="Heading1"/>
        <w:numPr>
          <w:ilvl w:val="0"/>
          <w:numId w:val="0"/>
        </w:numPr>
        <w:rPr>
          <w:lang w:val="en-US"/>
        </w:rPr>
      </w:pPr>
      <w:r>
        <w:rPr>
          <w:lang w:val="en-US"/>
        </w:rPr>
        <w:t>References</w:t>
      </w:r>
    </w:p>
    <w:p w14:paraId="42C8D945" w14:textId="25D4A4ED" w:rsidR="00527277" w:rsidRDefault="00690DA5" w:rsidP="00797CE5">
      <w:r>
        <w:rPr>
          <w:lang w:val="en-US"/>
        </w:rPr>
        <w:t>[</w:t>
      </w:r>
      <w:r w:rsidR="00AD782A">
        <w:rPr>
          <w:lang w:val="en-US"/>
        </w:rPr>
        <w:t>1</w:t>
      </w:r>
      <w:r w:rsidR="007820D6">
        <w:rPr>
          <w:lang w:val="en-US"/>
        </w:rPr>
        <w:t>]</w:t>
      </w:r>
      <w:r w:rsidR="00FC580D">
        <w:t xml:space="preserve"> </w:t>
      </w:r>
      <w:r w:rsidR="00131E99">
        <w:t>R4-</w:t>
      </w:r>
      <w:r w:rsidR="00111DA9">
        <w:t>19</w:t>
      </w:r>
      <w:r w:rsidR="00792A02">
        <w:t>0</w:t>
      </w:r>
      <w:r w:rsidR="00A87C11">
        <w:t>3823</w:t>
      </w:r>
    </w:p>
    <w:p w14:paraId="69C7D277" w14:textId="5CF2B8BE" w:rsidR="002267E7" w:rsidRDefault="002267E7" w:rsidP="00797CE5">
      <w:r>
        <w:t>[2] TS 36.331</w:t>
      </w:r>
    </w:p>
    <w:p w14:paraId="05891966" w14:textId="71FF9CDC" w:rsidR="00FC7471" w:rsidRDefault="00FC7471" w:rsidP="00797CE5">
      <w:pPr>
        <w:rPr>
          <w:lang w:val="en-US"/>
        </w:rPr>
      </w:pPr>
    </w:p>
    <w:sectPr w:rsidR="00FC7471" w:rsidSect="00571A0A">
      <w:footerReference w:type="even" r:id="rId14"/>
      <w:footerReference w:type="default" r:id="rId15"/>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3E114F" w14:textId="77777777" w:rsidR="0030744A" w:rsidRDefault="0030744A">
      <w:r>
        <w:separator/>
      </w:r>
    </w:p>
  </w:endnote>
  <w:endnote w:type="continuationSeparator" w:id="0">
    <w:p w14:paraId="41251EFA" w14:textId="77777777" w:rsidR="0030744A" w:rsidRDefault="00307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1709BD" w:rsidRDefault="001709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1709BD" w:rsidRDefault="001709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1709BD" w:rsidRDefault="001709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1709BD" w:rsidRDefault="001709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A76814" w14:textId="77777777" w:rsidR="0030744A" w:rsidRDefault="0030744A">
      <w:r>
        <w:separator/>
      </w:r>
    </w:p>
  </w:footnote>
  <w:footnote w:type="continuationSeparator" w:id="0">
    <w:p w14:paraId="3E819CB2" w14:textId="77777777" w:rsidR="0030744A" w:rsidRDefault="003074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71723EA"/>
    <w:multiLevelType w:val="hybridMultilevel"/>
    <w:tmpl w:val="DEAC2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A63F44"/>
    <w:multiLevelType w:val="hybridMultilevel"/>
    <w:tmpl w:val="B8005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hint="default"/>
      </w:rPr>
    </w:lvl>
    <w:lvl w:ilvl="1" w:tplc="FEE67E3A">
      <w:numFmt w:val="bullet"/>
      <w:lvlText w:val="–"/>
      <w:lvlJc w:val="left"/>
      <w:pPr>
        <w:tabs>
          <w:tab w:val="num" w:pos="1440"/>
        </w:tabs>
        <w:ind w:left="1440" w:hanging="360"/>
      </w:pPr>
      <w:rPr>
        <w:rFonts w:ascii="Arial" w:hAnsi="Arial" w:hint="default"/>
      </w:rPr>
    </w:lvl>
    <w:lvl w:ilvl="2" w:tplc="F66C355C" w:tentative="1">
      <w:start w:val="1"/>
      <w:numFmt w:val="bullet"/>
      <w:lvlText w:val="•"/>
      <w:lvlJc w:val="left"/>
      <w:pPr>
        <w:tabs>
          <w:tab w:val="num" w:pos="2160"/>
        </w:tabs>
        <w:ind w:left="2160" w:hanging="360"/>
      </w:pPr>
      <w:rPr>
        <w:rFonts w:ascii="Arial" w:hAnsi="Arial" w:hint="default"/>
      </w:rPr>
    </w:lvl>
    <w:lvl w:ilvl="3" w:tplc="961C528E" w:tentative="1">
      <w:start w:val="1"/>
      <w:numFmt w:val="bullet"/>
      <w:lvlText w:val="•"/>
      <w:lvlJc w:val="left"/>
      <w:pPr>
        <w:tabs>
          <w:tab w:val="num" w:pos="2880"/>
        </w:tabs>
        <w:ind w:left="2880" w:hanging="360"/>
      </w:pPr>
      <w:rPr>
        <w:rFonts w:ascii="Arial" w:hAnsi="Arial" w:hint="default"/>
      </w:rPr>
    </w:lvl>
    <w:lvl w:ilvl="4" w:tplc="663EC892" w:tentative="1">
      <w:start w:val="1"/>
      <w:numFmt w:val="bullet"/>
      <w:lvlText w:val="•"/>
      <w:lvlJc w:val="left"/>
      <w:pPr>
        <w:tabs>
          <w:tab w:val="num" w:pos="3600"/>
        </w:tabs>
        <w:ind w:left="3600" w:hanging="360"/>
      </w:pPr>
      <w:rPr>
        <w:rFonts w:ascii="Arial" w:hAnsi="Arial" w:hint="default"/>
      </w:rPr>
    </w:lvl>
    <w:lvl w:ilvl="5" w:tplc="1A8E273E" w:tentative="1">
      <w:start w:val="1"/>
      <w:numFmt w:val="bullet"/>
      <w:lvlText w:val="•"/>
      <w:lvlJc w:val="left"/>
      <w:pPr>
        <w:tabs>
          <w:tab w:val="num" w:pos="4320"/>
        </w:tabs>
        <w:ind w:left="4320" w:hanging="360"/>
      </w:pPr>
      <w:rPr>
        <w:rFonts w:ascii="Arial" w:hAnsi="Arial" w:hint="default"/>
      </w:rPr>
    </w:lvl>
    <w:lvl w:ilvl="6" w:tplc="D15C2CAE" w:tentative="1">
      <w:start w:val="1"/>
      <w:numFmt w:val="bullet"/>
      <w:lvlText w:val="•"/>
      <w:lvlJc w:val="left"/>
      <w:pPr>
        <w:tabs>
          <w:tab w:val="num" w:pos="5040"/>
        </w:tabs>
        <w:ind w:left="5040" w:hanging="360"/>
      </w:pPr>
      <w:rPr>
        <w:rFonts w:ascii="Arial" w:hAnsi="Arial" w:hint="default"/>
      </w:rPr>
    </w:lvl>
    <w:lvl w:ilvl="7" w:tplc="611A7E12" w:tentative="1">
      <w:start w:val="1"/>
      <w:numFmt w:val="bullet"/>
      <w:lvlText w:val="•"/>
      <w:lvlJc w:val="left"/>
      <w:pPr>
        <w:tabs>
          <w:tab w:val="num" w:pos="5760"/>
        </w:tabs>
        <w:ind w:left="5760" w:hanging="360"/>
      </w:pPr>
      <w:rPr>
        <w:rFonts w:ascii="Arial" w:hAnsi="Arial" w:hint="default"/>
      </w:rPr>
    </w:lvl>
    <w:lvl w:ilvl="8" w:tplc="F3F0D22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297C56"/>
    <w:multiLevelType w:val="hybridMultilevel"/>
    <w:tmpl w:val="61EE5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804431"/>
    <w:multiLevelType w:val="hybridMultilevel"/>
    <w:tmpl w:val="2DAEC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AFD0F92"/>
    <w:multiLevelType w:val="hybridMultilevel"/>
    <w:tmpl w:val="1DACA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1068B0"/>
    <w:multiLevelType w:val="hybridMultilevel"/>
    <w:tmpl w:val="D442A26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hint="default"/>
      </w:rPr>
    </w:lvl>
    <w:lvl w:ilvl="1" w:tplc="57A8318C" w:tentative="1">
      <w:start w:val="1"/>
      <w:numFmt w:val="bullet"/>
      <w:lvlText w:val="•"/>
      <w:lvlJc w:val="left"/>
      <w:pPr>
        <w:tabs>
          <w:tab w:val="num" w:pos="1440"/>
        </w:tabs>
        <w:ind w:left="1440" w:hanging="360"/>
      </w:pPr>
      <w:rPr>
        <w:rFonts w:ascii="Arial" w:hAnsi="Arial" w:hint="default"/>
      </w:rPr>
    </w:lvl>
    <w:lvl w:ilvl="2" w:tplc="4146A2E0" w:tentative="1">
      <w:start w:val="1"/>
      <w:numFmt w:val="bullet"/>
      <w:lvlText w:val="•"/>
      <w:lvlJc w:val="left"/>
      <w:pPr>
        <w:tabs>
          <w:tab w:val="num" w:pos="2160"/>
        </w:tabs>
        <w:ind w:left="2160" w:hanging="360"/>
      </w:pPr>
      <w:rPr>
        <w:rFonts w:ascii="Arial" w:hAnsi="Arial" w:hint="default"/>
      </w:rPr>
    </w:lvl>
    <w:lvl w:ilvl="3" w:tplc="EB1AEB00" w:tentative="1">
      <w:start w:val="1"/>
      <w:numFmt w:val="bullet"/>
      <w:lvlText w:val="•"/>
      <w:lvlJc w:val="left"/>
      <w:pPr>
        <w:tabs>
          <w:tab w:val="num" w:pos="2880"/>
        </w:tabs>
        <w:ind w:left="2880" w:hanging="360"/>
      </w:pPr>
      <w:rPr>
        <w:rFonts w:ascii="Arial" w:hAnsi="Arial" w:hint="default"/>
      </w:rPr>
    </w:lvl>
    <w:lvl w:ilvl="4" w:tplc="02ACD6EE" w:tentative="1">
      <w:start w:val="1"/>
      <w:numFmt w:val="bullet"/>
      <w:lvlText w:val="•"/>
      <w:lvlJc w:val="left"/>
      <w:pPr>
        <w:tabs>
          <w:tab w:val="num" w:pos="3600"/>
        </w:tabs>
        <w:ind w:left="3600" w:hanging="360"/>
      </w:pPr>
      <w:rPr>
        <w:rFonts w:ascii="Arial" w:hAnsi="Arial" w:hint="default"/>
      </w:rPr>
    </w:lvl>
    <w:lvl w:ilvl="5" w:tplc="159096C6" w:tentative="1">
      <w:start w:val="1"/>
      <w:numFmt w:val="bullet"/>
      <w:lvlText w:val="•"/>
      <w:lvlJc w:val="left"/>
      <w:pPr>
        <w:tabs>
          <w:tab w:val="num" w:pos="4320"/>
        </w:tabs>
        <w:ind w:left="4320" w:hanging="360"/>
      </w:pPr>
      <w:rPr>
        <w:rFonts w:ascii="Arial" w:hAnsi="Arial" w:hint="default"/>
      </w:rPr>
    </w:lvl>
    <w:lvl w:ilvl="6" w:tplc="BBD8D214" w:tentative="1">
      <w:start w:val="1"/>
      <w:numFmt w:val="bullet"/>
      <w:lvlText w:val="•"/>
      <w:lvlJc w:val="left"/>
      <w:pPr>
        <w:tabs>
          <w:tab w:val="num" w:pos="5040"/>
        </w:tabs>
        <w:ind w:left="5040" w:hanging="360"/>
      </w:pPr>
      <w:rPr>
        <w:rFonts w:ascii="Arial" w:hAnsi="Arial" w:hint="default"/>
      </w:rPr>
    </w:lvl>
    <w:lvl w:ilvl="7" w:tplc="E4FE7E16" w:tentative="1">
      <w:start w:val="1"/>
      <w:numFmt w:val="bullet"/>
      <w:lvlText w:val="•"/>
      <w:lvlJc w:val="left"/>
      <w:pPr>
        <w:tabs>
          <w:tab w:val="num" w:pos="5760"/>
        </w:tabs>
        <w:ind w:left="5760" w:hanging="360"/>
      </w:pPr>
      <w:rPr>
        <w:rFonts w:ascii="Arial" w:hAnsi="Arial" w:hint="default"/>
      </w:rPr>
    </w:lvl>
    <w:lvl w:ilvl="8" w:tplc="8174AA8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EF36075"/>
    <w:multiLevelType w:val="hybridMultilevel"/>
    <w:tmpl w:val="4358D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A049BB"/>
    <w:multiLevelType w:val="hybridMultilevel"/>
    <w:tmpl w:val="838898D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hint="default"/>
      </w:rPr>
    </w:lvl>
    <w:lvl w:ilvl="1" w:tplc="4F921970">
      <w:numFmt w:val="bullet"/>
      <w:lvlText w:val="–"/>
      <w:lvlJc w:val="left"/>
      <w:pPr>
        <w:tabs>
          <w:tab w:val="num" w:pos="1440"/>
        </w:tabs>
        <w:ind w:left="1440" w:hanging="360"/>
      </w:pPr>
      <w:rPr>
        <w:rFonts w:ascii="Arial" w:hAnsi="Arial" w:hint="default"/>
      </w:rPr>
    </w:lvl>
    <w:lvl w:ilvl="2" w:tplc="6116DD82">
      <w:numFmt w:val="bullet"/>
      <w:lvlText w:val="•"/>
      <w:lvlJc w:val="left"/>
      <w:pPr>
        <w:tabs>
          <w:tab w:val="num" w:pos="2160"/>
        </w:tabs>
        <w:ind w:left="2160" w:hanging="360"/>
      </w:pPr>
      <w:rPr>
        <w:rFonts w:ascii="Arial" w:hAnsi="Arial" w:hint="default"/>
      </w:rPr>
    </w:lvl>
    <w:lvl w:ilvl="3" w:tplc="681A2DDC" w:tentative="1">
      <w:start w:val="1"/>
      <w:numFmt w:val="bullet"/>
      <w:lvlText w:val="•"/>
      <w:lvlJc w:val="left"/>
      <w:pPr>
        <w:tabs>
          <w:tab w:val="num" w:pos="2880"/>
        </w:tabs>
        <w:ind w:left="2880" w:hanging="360"/>
      </w:pPr>
      <w:rPr>
        <w:rFonts w:ascii="Arial" w:hAnsi="Arial" w:hint="default"/>
      </w:rPr>
    </w:lvl>
    <w:lvl w:ilvl="4" w:tplc="98C2E406" w:tentative="1">
      <w:start w:val="1"/>
      <w:numFmt w:val="bullet"/>
      <w:lvlText w:val="•"/>
      <w:lvlJc w:val="left"/>
      <w:pPr>
        <w:tabs>
          <w:tab w:val="num" w:pos="3600"/>
        </w:tabs>
        <w:ind w:left="3600" w:hanging="360"/>
      </w:pPr>
      <w:rPr>
        <w:rFonts w:ascii="Arial" w:hAnsi="Arial" w:hint="default"/>
      </w:rPr>
    </w:lvl>
    <w:lvl w:ilvl="5" w:tplc="75DE41D2" w:tentative="1">
      <w:start w:val="1"/>
      <w:numFmt w:val="bullet"/>
      <w:lvlText w:val="•"/>
      <w:lvlJc w:val="left"/>
      <w:pPr>
        <w:tabs>
          <w:tab w:val="num" w:pos="4320"/>
        </w:tabs>
        <w:ind w:left="4320" w:hanging="360"/>
      </w:pPr>
      <w:rPr>
        <w:rFonts w:ascii="Arial" w:hAnsi="Arial" w:hint="default"/>
      </w:rPr>
    </w:lvl>
    <w:lvl w:ilvl="6" w:tplc="67A45CFA" w:tentative="1">
      <w:start w:val="1"/>
      <w:numFmt w:val="bullet"/>
      <w:lvlText w:val="•"/>
      <w:lvlJc w:val="left"/>
      <w:pPr>
        <w:tabs>
          <w:tab w:val="num" w:pos="5040"/>
        </w:tabs>
        <w:ind w:left="5040" w:hanging="360"/>
      </w:pPr>
      <w:rPr>
        <w:rFonts w:ascii="Arial" w:hAnsi="Arial" w:hint="default"/>
      </w:rPr>
    </w:lvl>
    <w:lvl w:ilvl="7" w:tplc="6FC8B960" w:tentative="1">
      <w:start w:val="1"/>
      <w:numFmt w:val="bullet"/>
      <w:lvlText w:val="•"/>
      <w:lvlJc w:val="left"/>
      <w:pPr>
        <w:tabs>
          <w:tab w:val="num" w:pos="5760"/>
        </w:tabs>
        <w:ind w:left="5760" w:hanging="360"/>
      </w:pPr>
      <w:rPr>
        <w:rFonts w:ascii="Arial" w:hAnsi="Arial" w:hint="default"/>
      </w:rPr>
    </w:lvl>
    <w:lvl w:ilvl="8" w:tplc="23F4BC8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1"/>
  </w:num>
  <w:num w:numId="3">
    <w:abstractNumId w:val="22"/>
  </w:num>
  <w:num w:numId="4">
    <w:abstractNumId w:val="7"/>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6"/>
  </w:num>
  <w:num w:numId="8">
    <w:abstractNumId w:val="5"/>
  </w:num>
  <w:num w:numId="9">
    <w:abstractNumId w:val="15"/>
  </w:num>
  <w:num w:numId="10">
    <w:abstractNumId w:val="4"/>
  </w:num>
  <w:num w:numId="11">
    <w:abstractNumId w:val="17"/>
  </w:num>
  <w:num w:numId="12">
    <w:abstractNumId w:val="10"/>
  </w:num>
  <w:num w:numId="13">
    <w:abstractNumId w:val="2"/>
  </w:num>
  <w:num w:numId="14">
    <w:abstractNumId w:val="18"/>
  </w:num>
  <w:num w:numId="15">
    <w:abstractNumId w:val="13"/>
  </w:num>
  <w:num w:numId="16">
    <w:abstractNumId w:val="20"/>
  </w:num>
  <w:num w:numId="17">
    <w:abstractNumId w:val="8"/>
  </w:num>
  <w:num w:numId="18">
    <w:abstractNumId w:val="16"/>
  </w:num>
  <w:num w:numId="19">
    <w:abstractNumId w:val="11"/>
  </w:num>
  <w:num w:numId="20">
    <w:abstractNumId w:val="19"/>
  </w:num>
  <w:num w:numId="21">
    <w:abstractNumId w:val="3"/>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1021"/>
    <w:rsid w:val="0000152A"/>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766"/>
    <w:rsid w:val="00007D9E"/>
    <w:rsid w:val="00010283"/>
    <w:rsid w:val="00010342"/>
    <w:rsid w:val="0001034A"/>
    <w:rsid w:val="00010367"/>
    <w:rsid w:val="00010EE0"/>
    <w:rsid w:val="00011027"/>
    <w:rsid w:val="000110F8"/>
    <w:rsid w:val="000115E6"/>
    <w:rsid w:val="0001181D"/>
    <w:rsid w:val="00011A68"/>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98"/>
    <w:rsid w:val="000550EF"/>
    <w:rsid w:val="00055861"/>
    <w:rsid w:val="00055B21"/>
    <w:rsid w:val="00055B93"/>
    <w:rsid w:val="00056AF7"/>
    <w:rsid w:val="00056CA8"/>
    <w:rsid w:val="00057080"/>
    <w:rsid w:val="00057694"/>
    <w:rsid w:val="00057ABC"/>
    <w:rsid w:val="000601B0"/>
    <w:rsid w:val="000603F0"/>
    <w:rsid w:val="00060AA9"/>
    <w:rsid w:val="00060BA5"/>
    <w:rsid w:val="00060D7F"/>
    <w:rsid w:val="00060F05"/>
    <w:rsid w:val="000610DF"/>
    <w:rsid w:val="00061200"/>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438"/>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00D"/>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1AC"/>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0D2"/>
    <w:rsid w:val="000E1366"/>
    <w:rsid w:val="000E1ABE"/>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258"/>
    <w:rsid w:val="00104747"/>
    <w:rsid w:val="00104C7B"/>
    <w:rsid w:val="00104EC3"/>
    <w:rsid w:val="0010522E"/>
    <w:rsid w:val="001057B9"/>
    <w:rsid w:val="00105D2B"/>
    <w:rsid w:val="0010635D"/>
    <w:rsid w:val="00106970"/>
    <w:rsid w:val="00106E80"/>
    <w:rsid w:val="001074E7"/>
    <w:rsid w:val="00110288"/>
    <w:rsid w:val="00110380"/>
    <w:rsid w:val="001107B5"/>
    <w:rsid w:val="00110CCF"/>
    <w:rsid w:val="00110EAD"/>
    <w:rsid w:val="00110F48"/>
    <w:rsid w:val="001111B6"/>
    <w:rsid w:val="0011169A"/>
    <w:rsid w:val="00111827"/>
    <w:rsid w:val="00111AA9"/>
    <w:rsid w:val="00111C91"/>
    <w:rsid w:val="00111DA9"/>
    <w:rsid w:val="00111EB7"/>
    <w:rsid w:val="00112593"/>
    <w:rsid w:val="001125E2"/>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1F"/>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01F"/>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6A0"/>
    <w:rsid w:val="00195A89"/>
    <w:rsid w:val="00195FDF"/>
    <w:rsid w:val="001960E9"/>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3291"/>
    <w:rsid w:val="001B3758"/>
    <w:rsid w:val="001B39EB"/>
    <w:rsid w:val="001B3C82"/>
    <w:rsid w:val="001B4165"/>
    <w:rsid w:val="001B43A4"/>
    <w:rsid w:val="001B4429"/>
    <w:rsid w:val="001B49C8"/>
    <w:rsid w:val="001B4D69"/>
    <w:rsid w:val="001B4DD5"/>
    <w:rsid w:val="001B53A9"/>
    <w:rsid w:val="001B5451"/>
    <w:rsid w:val="001B5847"/>
    <w:rsid w:val="001B590B"/>
    <w:rsid w:val="001B61DE"/>
    <w:rsid w:val="001B66C2"/>
    <w:rsid w:val="001B674A"/>
    <w:rsid w:val="001B68A0"/>
    <w:rsid w:val="001B6982"/>
    <w:rsid w:val="001B6A05"/>
    <w:rsid w:val="001B6B77"/>
    <w:rsid w:val="001B7E76"/>
    <w:rsid w:val="001B7EC6"/>
    <w:rsid w:val="001C064F"/>
    <w:rsid w:val="001C11F9"/>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204"/>
    <w:rsid w:val="001F55D4"/>
    <w:rsid w:val="001F57A5"/>
    <w:rsid w:val="001F5816"/>
    <w:rsid w:val="001F59C4"/>
    <w:rsid w:val="001F5A57"/>
    <w:rsid w:val="001F5C35"/>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479F"/>
    <w:rsid w:val="00205462"/>
    <w:rsid w:val="002064D1"/>
    <w:rsid w:val="002069A6"/>
    <w:rsid w:val="00206B0D"/>
    <w:rsid w:val="00207361"/>
    <w:rsid w:val="00207505"/>
    <w:rsid w:val="00207618"/>
    <w:rsid w:val="002076F3"/>
    <w:rsid w:val="002106A6"/>
    <w:rsid w:val="0021083C"/>
    <w:rsid w:val="00211030"/>
    <w:rsid w:val="002111D4"/>
    <w:rsid w:val="002119E3"/>
    <w:rsid w:val="00211BBF"/>
    <w:rsid w:val="002121D7"/>
    <w:rsid w:val="0021231F"/>
    <w:rsid w:val="002127E6"/>
    <w:rsid w:val="002128B4"/>
    <w:rsid w:val="00212EF5"/>
    <w:rsid w:val="00212F0B"/>
    <w:rsid w:val="00213766"/>
    <w:rsid w:val="002142D2"/>
    <w:rsid w:val="0021443F"/>
    <w:rsid w:val="0021455A"/>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7E7"/>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629"/>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517"/>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6C0"/>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0B1F"/>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8B4"/>
    <w:rsid w:val="002C3BB2"/>
    <w:rsid w:val="002C40A1"/>
    <w:rsid w:val="002C46B3"/>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B5F"/>
    <w:rsid w:val="002D1C44"/>
    <w:rsid w:val="002D282D"/>
    <w:rsid w:val="002D2956"/>
    <w:rsid w:val="002D2ADE"/>
    <w:rsid w:val="002D2F41"/>
    <w:rsid w:val="002D2F64"/>
    <w:rsid w:val="002D3495"/>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7F"/>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B67"/>
    <w:rsid w:val="002F0385"/>
    <w:rsid w:val="002F03B7"/>
    <w:rsid w:val="002F053B"/>
    <w:rsid w:val="002F1791"/>
    <w:rsid w:val="002F1837"/>
    <w:rsid w:val="002F1CD5"/>
    <w:rsid w:val="002F1DB2"/>
    <w:rsid w:val="002F1FBE"/>
    <w:rsid w:val="002F1FD2"/>
    <w:rsid w:val="002F271A"/>
    <w:rsid w:val="002F2F91"/>
    <w:rsid w:val="002F3196"/>
    <w:rsid w:val="002F3993"/>
    <w:rsid w:val="002F3ACB"/>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44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467"/>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37D"/>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53F"/>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0E04"/>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AE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07E"/>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6"/>
    <w:rsid w:val="00435DED"/>
    <w:rsid w:val="00435E5E"/>
    <w:rsid w:val="00435F15"/>
    <w:rsid w:val="00436067"/>
    <w:rsid w:val="00436244"/>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B44"/>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3F81"/>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65"/>
    <w:rsid w:val="00580B06"/>
    <w:rsid w:val="00580CE5"/>
    <w:rsid w:val="0058123B"/>
    <w:rsid w:val="005815C0"/>
    <w:rsid w:val="00581610"/>
    <w:rsid w:val="005820A9"/>
    <w:rsid w:val="005820FE"/>
    <w:rsid w:val="00582107"/>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8BB"/>
    <w:rsid w:val="005A5A4C"/>
    <w:rsid w:val="005A5CD5"/>
    <w:rsid w:val="005A6358"/>
    <w:rsid w:val="005A6C62"/>
    <w:rsid w:val="005A6E60"/>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1F2"/>
    <w:rsid w:val="005E16BF"/>
    <w:rsid w:val="005E19B4"/>
    <w:rsid w:val="005E19CD"/>
    <w:rsid w:val="005E1E74"/>
    <w:rsid w:val="005E1EE7"/>
    <w:rsid w:val="005E217C"/>
    <w:rsid w:val="005E2FC2"/>
    <w:rsid w:val="005E37AF"/>
    <w:rsid w:val="005E3956"/>
    <w:rsid w:val="005E395A"/>
    <w:rsid w:val="005E3C68"/>
    <w:rsid w:val="005E46A7"/>
    <w:rsid w:val="005E46C2"/>
    <w:rsid w:val="005E49F2"/>
    <w:rsid w:val="005E4B96"/>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11D"/>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9E2"/>
    <w:rsid w:val="00643CD3"/>
    <w:rsid w:val="00643ECF"/>
    <w:rsid w:val="00643FD3"/>
    <w:rsid w:val="006443EF"/>
    <w:rsid w:val="00644C82"/>
    <w:rsid w:val="006453D5"/>
    <w:rsid w:val="00645E08"/>
    <w:rsid w:val="006460BD"/>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17"/>
    <w:rsid w:val="00670A29"/>
    <w:rsid w:val="006713F8"/>
    <w:rsid w:val="006717A5"/>
    <w:rsid w:val="00671A47"/>
    <w:rsid w:val="00671A49"/>
    <w:rsid w:val="00671A4A"/>
    <w:rsid w:val="00671B73"/>
    <w:rsid w:val="00671D15"/>
    <w:rsid w:val="006722AB"/>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20D"/>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FC8"/>
    <w:rsid w:val="006C53A4"/>
    <w:rsid w:val="006C58F9"/>
    <w:rsid w:val="006C5915"/>
    <w:rsid w:val="006C597F"/>
    <w:rsid w:val="006C5A1D"/>
    <w:rsid w:val="006C5F21"/>
    <w:rsid w:val="006C6AB8"/>
    <w:rsid w:val="006C6E72"/>
    <w:rsid w:val="006C7168"/>
    <w:rsid w:val="006C73A0"/>
    <w:rsid w:val="006C757A"/>
    <w:rsid w:val="006C7711"/>
    <w:rsid w:val="006C7C5A"/>
    <w:rsid w:val="006D0E98"/>
    <w:rsid w:val="006D1246"/>
    <w:rsid w:val="006D218D"/>
    <w:rsid w:val="006D243B"/>
    <w:rsid w:val="006D24D4"/>
    <w:rsid w:val="006D26B6"/>
    <w:rsid w:val="006D29E7"/>
    <w:rsid w:val="006D30EF"/>
    <w:rsid w:val="006D32FB"/>
    <w:rsid w:val="006D342F"/>
    <w:rsid w:val="006D3560"/>
    <w:rsid w:val="006D36F8"/>
    <w:rsid w:val="006D37A3"/>
    <w:rsid w:val="006D385D"/>
    <w:rsid w:val="006D39E1"/>
    <w:rsid w:val="006D3D0F"/>
    <w:rsid w:val="006D4032"/>
    <w:rsid w:val="006D427C"/>
    <w:rsid w:val="006D4A70"/>
    <w:rsid w:val="006D4E84"/>
    <w:rsid w:val="006D5362"/>
    <w:rsid w:val="006D573B"/>
    <w:rsid w:val="006D684C"/>
    <w:rsid w:val="006D701D"/>
    <w:rsid w:val="006D7122"/>
    <w:rsid w:val="006D7134"/>
    <w:rsid w:val="006D7740"/>
    <w:rsid w:val="006D7D98"/>
    <w:rsid w:val="006D7EAD"/>
    <w:rsid w:val="006E006D"/>
    <w:rsid w:val="006E0370"/>
    <w:rsid w:val="006E04FE"/>
    <w:rsid w:val="006E0E9E"/>
    <w:rsid w:val="006E1350"/>
    <w:rsid w:val="006E1831"/>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199"/>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0B"/>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272"/>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C31"/>
    <w:rsid w:val="00721CB7"/>
    <w:rsid w:val="00721FD3"/>
    <w:rsid w:val="0072206D"/>
    <w:rsid w:val="007225D7"/>
    <w:rsid w:val="007227D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4D7"/>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C87"/>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1067"/>
    <w:rsid w:val="00751B41"/>
    <w:rsid w:val="00751CF0"/>
    <w:rsid w:val="007520B7"/>
    <w:rsid w:val="007525A6"/>
    <w:rsid w:val="00752608"/>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2D8"/>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ADB"/>
    <w:rsid w:val="00791CC0"/>
    <w:rsid w:val="00792161"/>
    <w:rsid w:val="007922DB"/>
    <w:rsid w:val="007925A0"/>
    <w:rsid w:val="00792A02"/>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9B2"/>
    <w:rsid w:val="00797CE5"/>
    <w:rsid w:val="00797ED3"/>
    <w:rsid w:val="007A017D"/>
    <w:rsid w:val="007A0316"/>
    <w:rsid w:val="007A0501"/>
    <w:rsid w:val="007A065B"/>
    <w:rsid w:val="007A0BF5"/>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00"/>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51D"/>
    <w:rsid w:val="007C1008"/>
    <w:rsid w:val="007C1173"/>
    <w:rsid w:val="007C118E"/>
    <w:rsid w:val="007C12C6"/>
    <w:rsid w:val="007C15F6"/>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20C"/>
    <w:rsid w:val="0082463D"/>
    <w:rsid w:val="008246FB"/>
    <w:rsid w:val="0082472F"/>
    <w:rsid w:val="00824ABE"/>
    <w:rsid w:val="00824C53"/>
    <w:rsid w:val="00824D2A"/>
    <w:rsid w:val="00824F99"/>
    <w:rsid w:val="00825003"/>
    <w:rsid w:val="008267EF"/>
    <w:rsid w:val="00826E6B"/>
    <w:rsid w:val="00827002"/>
    <w:rsid w:val="008272A6"/>
    <w:rsid w:val="008279E6"/>
    <w:rsid w:val="00827F68"/>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72C"/>
    <w:rsid w:val="0084182C"/>
    <w:rsid w:val="00841A53"/>
    <w:rsid w:val="00842D4C"/>
    <w:rsid w:val="008432F4"/>
    <w:rsid w:val="008435C1"/>
    <w:rsid w:val="008436E7"/>
    <w:rsid w:val="0084379E"/>
    <w:rsid w:val="00843AD9"/>
    <w:rsid w:val="00843BF9"/>
    <w:rsid w:val="00844161"/>
    <w:rsid w:val="008445B9"/>
    <w:rsid w:val="008446E9"/>
    <w:rsid w:val="008447A6"/>
    <w:rsid w:val="008450B4"/>
    <w:rsid w:val="00845467"/>
    <w:rsid w:val="008455F4"/>
    <w:rsid w:val="00845FA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334"/>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03E"/>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228"/>
    <w:rsid w:val="008A13DA"/>
    <w:rsid w:val="008A1714"/>
    <w:rsid w:val="008A19F5"/>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499"/>
    <w:rsid w:val="008E4558"/>
    <w:rsid w:val="008E4BF6"/>
    <w:rsid w:val="008E51F4"/>
    <w:rsid w:val="008E5C71"/>
    <w:rsid w:val="008E6129"/>
    <w:rsid w:val="008E6247"/>
    <w:rsid w:val="008E673F"/>
    <w:rsid w:val="008E67D2"/>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A9B"/>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D3"/>
    <w:rsid w:val="00940474"/>
    <w:rsid w:val="0094137D"/>
    <w:rsid w:val="009416AD"/>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C5"/>
    <w:rsid w:val="00965DC9"/>
    <w:rsid w:val="009670F9"/>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2732"/>
    <w:rsid w:val="009A2790"/>
    <w:rsid w:val="009A2A73"/>
    <w:rsid w:val="009A373F"/>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4FC"/>
    <w:rsid w:val="009B0627"/>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B7D43"/>
    <w:rsid w:val="009C00C0"/>
    <w:rsid w:val="009C00D9"/>
    <w:rsid w:val="009C04FC"/>
    <w:rsid w:val="009C0981"/>
    <w:rsid w:val="009C09BC"/>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51"/>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2C1"/>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79D"/>
    <w:rsid w:val="00A63EAA"/>
    <w:rsid w:val="00A640BA"/>
    <w:rsid w:val="00A6476F"/>
    <w:rsid w:val="00A64A4E"/>
    <w:rsid w:val="00A64A51"/>
    <w:rsid w:val="00A64DF1"/>
    <w:rsid w:val="00A64F4C"/>
    <w:rsid w:val="00A653A7"/>
    <w:rsid w:val="00A65A23"/>
    <w:rsid w:val="00A66069"/>
    <w:rsid w:val="00A660FF"/>
    <w:rsid w:val="00A6621A"/>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C11"/>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258"/>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EC"/>
    <w:rsid w:val="00AC06FE"/>
    <w:rsid w:val="00AC0A8C"/>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52"/>
    <w:rsid w:val="00B02225"/>
    <w:rsid w:val="00B02A49"/>
    <w:rsid w:val="00B03847"/>
    <w:rsid w:val="00B0389B"/>
    <w:rsid w:val="00B03E65"/>
    <w:rsid w:val="00B0433E"/>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4FC"/>
    <w:rsid w:val="00B6370B"/>
    <w:rsid w:val="00B638A4"/>
    <w:rsid w:val="00B63909"/>
    <w:rsid w:val="00B63934"/>
    <w:rsid w:val="00B63FB5"/>
    <w:rsid w:val="00B64011"/>
    <w:rsid w:val="00B64B56"/>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D15"/>
    <w:rsid w:val="00B87DEF"/>
    <w:rsid w:val="00B87E3C"/>
    <w:rsid w:val="00B908B1"/>
    <w:rsid w:val="00B9094B"/>
    <w:rsid w:val="00B90B9D"/>
    <w:rsid w:val="00B90F89"/>
    <w:rsid w:val="00B90FDA"/>
    <w:rsid w:val="00B90FFF"/>
    <w:rsid w:val="00B91115"/>
    <w:rsid w:val="00B91378"/>
    <w:rsid w:val="00B915BF"/>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94"/>
    <w:rsid w:val="00BC4326"/>
    <w:rsid w:val="00BC5182"/>
    <w:rsid w:val="00BC54FB"/>
    <w:rsid w:val="00BC5B9A"/>
    <w:rsid w:val="00BC5C97"/>
    <w:rsid w:val="00BC625D"/>
    <w:rsid w:val="00BC655A"/>
    <w:rsid w:val="00BC6617"/>
    <w:rsid w:val="00BC67FF"/>
    <w:rsid w:val="00BC6A93"/>
    <w:rsid w:val="00BC6B91"/>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743"/>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6F58"/>
    <w:rsid w:val="00BD7181"/>
    <w:rsid w:val="00BD7330"/>
    <w:rsid w:val="00BD748C"/>
    <w:rsid w:val="00BD76D8"/>
    <w:rsid w:val="00BD7AEA"/>
    <w:rsid w:val="00BD7FDD"/>
    <w:rsid w:val="00BD7FE0"/>
    <w:rsid w:val="00BE0577"/>
    <w:rsid w:val="00BE05CE"/>
    <w:rsid w:val="00BE0734"/>
    <w:rsid w:val="00BE08F8"/>
    <w:rsid w:val="00BE0A3A"/>
    <w:rsid w:val="00BE0A6D"/>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4C9E"/>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494A"/>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575"/>
    <w:rsid w:val="00C0368F"/>
    <w:rsid w:val="00C036A3"/>
    <w:rsid w:val="00C03CE4"/>
    <w:rsid w:val="00C03DBE"/>
    <w:rsid w:val="00C03E94"/>
    <w:rsid w:val="00C04709"/>
    <w:rsid w:val="00C04BCC"/>
    <w:rsid w:val="00C04C74"/>
    <w:rsid w:val="00C05631"/>
    <w:rsid w:val="00C06234"/>
    <w:rsid w:val="00C06F5B"/>
    <w:rsid w:val="00C07075"/>
    <w:rsid w:val="00C07250"/>
    <w:rsid w:val="00C07549"/>
    <w:rsid w:val="00C07890"/>
    <w:rsid w:val="00C07B03"/>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98"/>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4EC"/>
    <w:rsid w:val="00C70762"/>
    <w:rsid w:val="00C7082E"/>
    <w:rsid w:val="00C70C85"/>
    <w:rsid w:val="00C718D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982"/>
    <w:rsid w:val="00CB19BF"/>
    <w:rsid w:val="00CB1B7D"/>
    <w:rsid w:val="00CB1C2C"/>
    <w:rsid w:val="00CB1E40"/>
    <w:rsid w:val="00CB1F64"/>
    <w:rsid w:val="00CB2A40"/>
    <w:rsid w:val="00CB2AC8"/>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6ECB"/>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3E9"/>
    <w:rsid w:val="00D458AA"/>
    <w:rsid w:val="00D45E09"/>
    <w:rsid w:val="00D46180"/>
    <w:rsid w:val="00D462CC"/>
    <w:rsid w:val="00D4632E"/>
    <w:rsid w:val="00D4699A"/>
    <w:rsid w:val="00D46E75"/>
    <w:rsid w:val="00D4704C"/>
    <w:rsid w:val="00D47564"/>
    <w:rsid w:val="00D47C86"/>
    <w:rsid w:val="00D504A1"/>
    <w:rsid w:val="00D504CF"/>
    <w:rsid w:val="00D505CA"/>
    <w:rsid w:val="00D50E4F"/>
    <w:rsid w:val="00D5115F"/>
    <w:rsid w:val="00D513BC"/>
    <w:rsid w:val="00D513F8"/>
    <w:rsid w:val="00D51548"/>
    <w:rsid w:val="00D51D44"/>
    <w:rsid w:val="00D5237A"/>
    <w:rsid w:val="00D524F8"/>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B46"/>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56D"/>
    <w:rsid w:val="00D91DB5"/>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1D5"/>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2A8"/>
    <w:rsid w:val="00DD72F8"/>
    <w:rsid w:val="00DD7304"/>
    <w:rsid w:val="00DD779D"/>
    <w:rsid w:val="00DD7B85"/>
    <w:rsid w:val="00DD7BFA"/>
    <w:rsid w:val="00DD7E84"/>
    <w:rsid w:val="00DD7F58"/>
    <w:rsid w:val="00DE06AD"/>
    <w:rsid w:val="00DE0857"/>
    <w:rsid w:val="00DE11C5"/>
    <w:rsid w:val="00DE13D5"/>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2D8E"/>
    <w:rsid w:val="00E135FF"/>
    <w:rsid w:val="00E13CE9"/>
    <w:rsid w:val="00E13DC1"/>
    <w:rsid w:val="00E13F9F"/>
    <w:rsid w:val="00E14307"/>
    <w:rsid w:val="00E148B6"/>
    <w:rsid w:val="00E14ACF"/>
    <w:rsid w:val="00E14FE5"/>
    <w:rsid w:val="00E15100"/>
    <w:rsid w:val="00E15211"/>
    <w:rsid w:val="00E1530B"/>
    <w:rsid w:val="00E1538E"/>
    <w:rsid w:val="00E1543D"/>
    <w:rsid w:val="00E1557E"/>
    <w:rsid w:val="00E15A00"/>
    <w:rsid w:val="00E15D6E"/>
    <w:rsid w:val="00E15E63"/>
    <w:rsid w:val="00E15FC9"/>
    <w:rsid w:val="00E16126"/>
    <w:rsid w:val="00E1615B"/>
    <w:rsid w:val="00E161A5"/>
    <w:rsid w:val="00E16409"/>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55"/>
    <w:rsid w:val="00E762DD"/>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3166"/>
    <w:rsid w:val="00EA33B1"/>
    <w:rsid w:val="00EA3449"/>
    <w:rsid w:val="00EA3460"/>
    <w:rsid w:val="00EA38A6"/>
    <w:rsid w:val="00EA3DD8"/>
    <w:rsid w:val="00EA4082"/>
    <w:rsid w:val="00EA4844"/>
    <w:rsid w:val="00EA4A7A"/>
    <w:rsid w:val="00EA4AEA"/>
    <w:rsid w:val="00EA5424"/>
    <w:rsid w:val="00EA544B"/>
    <w:rsid w:val="00EA561A"/>
    <w:rsid w:val="00EA5664"/>
    <w:rsid w:val="00EA5718"/>
    <w:rsid w:val="00EA5D61"/>
    <w:rsid w:val="00EA5E64"/>
    <w:rsid w:val="00EA6358"/>
    <w:rsid w:val="00EA6360"/>
    <w:rsid w:val="00EA6369"/>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302"/>
    <w:rsid w:val="00EC7364"/>
    <w:rsid w:val="00EC7398"/>
    <w:rsid w:val="00EC7C44"/>
    <w:rsid w:val="00EC7CBA"/>
    <w:rsid w:val="00EC7DFE"/>
    <w:rsid w:val="00ED0231"/>
    <w:rsid w:val="00ED02DD"/>
    <w:rsid w:val="00ED04A4"/>
    <w:rsid w:val="00ED0607"/>
    <w:rsid w:val="00ED07D2"/>
    <w:rsid w:val="00ED0E63"/>
    <w:rsid w:val="00ED11E8"/>
    <w:rsid w:val="00ED1261"/>
    <w:rsid w:val="00ED148B"/>
    <w:rsid w:val="00ED1D0B"/>
    <w:rsid w:val="00ED1E2F"/>
    <w:rsid w:val="00ED2295"/>
    <w:rsid w:val="00ED2AC6"/>
    <w:rsid w:val="00ED2D61"/>
    <w:rsid w:val="00ED3671"/>
    <w:rsid w:val="00ED38DE"/>
    <w:rsid w:val="00ED3E0D"/>
    <w:rsid w:val="00ED46D7"/>
    <w:rsid w:val="00ED52CC"/>
    <w:rsid w:val="00ED53BD"/>
    <w:rsid w:val="00ED55F1"/>
    <w:rsid w:val="00ED5874"/>
    <w:rsid w:val="00ED5C02"/>
    <w:rsid w:val="00ED7224"/>
    <w:rsid w:val="00ED722A"/>
    <w:rsid w:val="00ED727E"/>
    <w:rsid w:val="00ED730B"/>
    <w:rsid w:val="00ED74B3"/>
    <w:rsid w:val="00ED7678"/>
    <w:rsid w:val="00ED7E0C"/>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592"/>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013"/>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1CC3"/>
    <w:rsid w:val="00F124D0"/>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A6D"/>
    <w:rsid w:val="00F14C20"/>
    <w:rsid w:val="00F14ECD"/>
    <w:rsid w:val="00F1551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C93"/>
    <w:rsid w:val="00F45E8D"/>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5FA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515"/>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8E8"/>
    <w:rsid w:val="00FD6F8A"/>
    <w:rsid w:val="00FD7339"/>
    <w:rsid w:val="00FD75BF"/>
    <w:rsid w:val="00FD77B8"/>
    <w:rsid w:val="00FD7893"/>
    <w:rsid w:val="00FE013A"/>
    <w:rsid w:val="00FE0CF1"/>
    <w:rsid w:val="00FE130E"/>
    <w:rsid w:val="00FE1807"/>
    <w:rsid w:val="00FE1CD4"/>
    <w:rsid w:val="00FE1DB1"/>
    <w:rsid w:val="00FE2272"/>
    <w:rsid w:val="00FE253C"/>
    <w:rsid w:val="00FE2653"/>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088"/>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3DCCB766-77FE-4814-B8E4-4092DC811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059435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458332116">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144082603">
          <w:marLeft w:val="1166"/>
          <w:marRight w:val="0"/>
          <w:marTop w:val="77"/>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412430147">
          <w:marLeft w:val="360"/>
          <w:marRight w:val="0"/>
          <w:marTop w:val="200"/>
          <w:marBottom w:val="0"/>
          <w:divBdr>
            <w:top w:val="none" w:sz="0" w:space="0" w:color="auto"/>
            <w:left w:val="none" w:sz="0" w:space="0" w:color="auto"/>
            <w:bottom w:val="none" w:sz="0" w:space="0" w:color="auto"/>
            <w:right w:val="none" w:sz="0" w:space="0" w:color="auto"/>
          </w:divBdr>
        </w:div>
        <w:div w:id="281109884">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1988197331">
          <w:marLeft w:val="1008"/>
          <w:marRight w:val="0"/>
          <w:marTop w:val="120"/>
          <w:marBottom w:val="0"/>
          <w:divBdr>
            <w:top w:val="none" w:sz="0" w:space="0" w:color="auto"/>
            <w:left w:val="none" w:sz="0" w:space="0" w:color="auto"/>
            <w:bottom w:val="none" w:sz="0" w:space="0" w:color="auto"/>
            <w:right w:val="none" w:sz="0" w:space="0" w:color="auto"/>
          </w:divBdr>
        </w:div>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5306035">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2022781080">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59690990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CAB820-6521-4EA4-84C5-9053ACE11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1184</TotalTime>
  <Pages>4</Pages>
  <Words>1319</Words>
  <Characters>7524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cp:lastModifiedBy>Arash Mirbagheri</cp:lastModifiedBy>
  <cp:revision>21</cp:revision>
  <cp:lastPrinted>2009-04-22T21:01:00Z</cp:lastPrinted>
  <dcterms:created xsi:type="dcterms:W3CDTF">2019-05-01T18:08:00Z</dcterms:created>
  <dcterms:modified xsi:type="dcterms:W3CDTF">2019-05-03T20:13:00Z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